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8BFF" w14:textId="77777777" w:rsidR="00FB775F" w:rsidRPr="00196D83" w:rsidRDefault="00797A62">
      <w:pPr>
        <w:rPr>
          <w:rFonts w:cs="Arial"/>
          <w:b/>
        </w:rPr>
      </w:pPr>
      <w:r>
        <w:rPr>
          <w:rFonts w:cs="Arial"/>
          <w:b/>
          <w:sz w:val="36"/>
        </w:rPr>
        <w:pict w14:anchorId="002CE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9" o:title=""/>
          </v:shape>
        </w:pict>
      </w:r>
    </w:p>
    <w:p w14:paraId="1D087328" w14:textId="77777777" w:rsidR="00FB775F" w:rsidRPr="00196D83" w:rsidRDefault="00FB775F">
      <w:pPr>
        <w:jc w:val="center"/>
        <w:rPr>
          <w:rFonts w:cs="Arial"/>
          <w:b/>
        </w:rPr>
      </w:pPr>
    </w:p>
    <w:p w14:paraId="68367DE0" w14:textId="77777777" w:rsidR="00196D83" w:rsidRPr="00196D83" w:rsidRDefault="00196D83">
      <w:pPr>
        <w:jc w:val="center"/>
        <w:rPr>
          <w:rFonts w:cs="Arial"/>
          <w:b/>
        </w:rPr>
      </w:pPr>
    </w:p>
    <w:p w14:paraId="0D87EAFF" w14:textId="77777777" w:rsidR="00196D83" w:rsidRPr="00196D83" w:rsidRDefault="00196D83" w:rsidP="00196D83">
      <w:pPr>
        <w:rPr>
          <w:rFonts w:cs="Arial"/>
          <w:b/>
          <w:sz w:val="28"/>
          <w:szCs w:val="28"/>
          <w:lang w:val="en-NZ"/>
        </w:rPr>
      </w:pPr>
    </w:p>
    <w:p w14:paraId="324EEC57" w14:textId="77777777" w:rsidR="00196D83" w:rsidRPr="00196D83" w:rsidRDefault="00196D83" w:rsidP="00196D83">
      <w:pPr>
        <w:rPr>
          <w:rFonts w:cs="Arial"/>
          <w:b/>
          <w:sz w:val="28"/>
          <w:szCs w:val="28"/>
          <w:lang w:val="en-NZ"/>
        </w:rPr>
      </w:pPr>
      <w:r w:rsidRPr="00196D83">
        <w:rPr>
          <w:rFonts w:cs="Arial"/>
          <w:b/>
          <w:sz w:val="28"/>
          <w:szCs w:val="28"/>
          <w:lang w:val="en-NZ"/>
        </w:rPr>
        <w:t xml:space="preserve">NCEA Level </w:t>
      </w:r>
      <w:r w:rsidR="008B5B9E">
        <w:rPr>
          <w:rFonts w:cs="Arial"/>
          <w:b/>
          <w:sz w:val="28"/>
          <w:szCs w:val="28"/>
          <w:lang w:val="en-NZ"/>
        </w:rPr>
        <w:t>2</w:t>
      </w:r>
      <w:r w:rsidR="00690531">
        <w:rPr>
          <w:rFonts w:cs="Arial"/>
          <w:b/>
          <w:sz w:val="28"/>
          <w:szCs w:val="28"/>
          <w:lang w:val="en-NZ"/>
        </w:rPr>
        <w:t xml:space="preserve"> </w:t>
      </w:r>
      <w:r w:rsidR="00780465">
        <w:rPr>
          <w:rFonts w:cs="Arial"/>
          <w:b/>
          <w:sz w:val="28"/>
          <w:szCs w:val="28"/>
          <w:lang w:val="en-NZ"/>
        </w:rPr>
        <w:t>Chemistry</w:t>
      </w:r>
    </w:p>
    <w:p w14:paraId="18CD85D2" w14:textId="77777777" w:rsidR="00196D83" w:rsidRPr="00196D83" w:rsidRDefault="00196D83" w:rsidP="00196D83">
      <w:pPr>
        <w:rPr>
          <w:rFonts w:cs="Arial"/>
          <w:b/>
          <w:sz w:val="28"/>
          <w:szCs w:val="28"/>
          <w:lang w:val="en-NZ"/>
        </w:rPr>
      </w:pPr>
    </w:p>
    <w:p w14:paraId="1F939651" w14:textId="77777777" w:rsidR="00FB775F" w:rsidRPr="00196D83" w:rsidRDefault="00196D83" w:rsidP="00196D83">
      <w:pPr>
        <w:rPr>
          <w:rFonts w:cs="Arial"/>
          <w:b/>
          <w:color w:val="000000"/>
          <w:sz w:val="28"/>
          <w:szCs w:val="28"/>
        </w:rPr>
      </w:pPr>
      <w:r w:rsidRPr="00196D83">
        <w:rPr>
          <w:rFonts w:cs="Arial"/>
          <w:b/>
          <w:sz w:val="28"/>
          <w:szCs w:val="28"/>
          <w:lang w:val="en-NZ"/>
        </w:rPr>
        <w:t>Conditions of Assessment</w:t>
      </w:r>
    </w:p>
    <w:p w14:paraId="7BFA70C6" w14:textId="77777777" w:rsidR="00FB775F" w:rsidRDefault="00FB775F">
      <w:pPr>
        <w:rPr>
          <w:rFonts w:cs="Arial"/>
          <w:b/>
          <w:color w:val="000000"/>
          <w:szCs w:val="24"/>
        </w:rPr>
      </w:pPr>
    </w:p>
    <w:p w14:paraId="51C5437B" w14:textId="77777777" w:rsidR="00A9607B" w:rsidRPr="00196D83" w:rsidRDefault="00196D83" w:rsidP="00196D83">
      <w:pPr>
        <w:tabs>
          <w:tab w:val="left" w:pos="1665"/>
        </w:tabs>
        <w:rPr>
          <w:rFonts w:cs="Arial"/>
          <w:b/>
          <w:sz w:val="26"/>
          <w:szCs w:val="26"/>
        </w:rPr>
      </w:pPr>
      <w:r w:rsidRPr="00196D83">
        <w:rPr>
          <w:rFonts w:cs="Arial"/>
          <w:b/>
          <w:sz w:val="26"/>
          <w:szCs w:val="26"/>
        </w:rPr>
        <w:t>General Information</w:t>
      </w:r>
    </w:p>
    <w:p w14:paraId="17BAA0B9" w14:textId="77777777" w:rsidR="00196D83" w:rsidRPr="00196D83" w:rsidRDefault="00196D83" w:rsidP="00196D83">
      <w:pPr>
        <w:tabs>
          <w:tab w:val="left" w:pos="1665"/>
        </w:tabs>
        <w:rPr>
          <w:rFonts w:cs="Arial"/>
          <w:szCs w:val="24"/>
        </w:rPr>
      </w:pPr>
    </w:p>
    <w:tbl>
      <w:tblPr>
        <w:tblW w:w="0" w:type="auto"/>
        <w:tblLook w:val="01E0" w:firstRow="1" w:lastRow="1" w:firstColumn="1" w:lastColumn="1" w:noHBand="0" w:noVBand="0"/>
      </w:tblPr>
      <w:tblGrid>
        <w:gridCol w:w="4077"/>
        <w:gridCol w:w="5776"/>
      </w:tblGrid>
      <w:tr w:rsidR="00196D83" w:rsidRPr="00F13E4F" w14:paraId="11AA0C8A" w14:textId="77777777" w:rsidTr="00F13E4F">
        <w:tc>
          <w:tcPr>
            <w:tcW w:w="4077" w:type="dxa"/>
            <w:vAlign w:val="center"/>
          </w:tcPr>
          <w:p w14:paraId="6DB4A748" w14:textId="77777777" w:rsidR="00196D83" w:rsidRPr="00F13E4F" w:rsidRDefault="00196D83" w:rsidP="00F13E4F">
            <w:pPr>
              <w:tabs>
                <w:tab w:val="left" w:pos="1665"/>
              </w:tabs>
              <w:spacing w:before="100" w:after="100"/>
              <w:rPr>
                <w:rFonts w:cs="Arial"/>
                <w:b/>
                <w:szCs w:val="24"/>
              </w:rPr>
            </w:pPr>
            <w:r w:rsidRPr="00F13E4F">
              <w:rPr>
                <w:rFonts w:cs="Arial"/>
                <w:b/>
                <w:szCs w:val="24"/>
              </w:rPr>
              <w:t>Subject Reference</w:t>
            </w:r>
          </w:p>
        </w:tc>
        <w:tc>
          <w:tcPr>
            <w:tcW w:w="5776" w:type="dxa"/>
            <w:vAlign w:val="center"/>
          </w:tcPr>
          <w:p w14:paraId="46825956" w14:textId="77777777" w:rsidR="00196D83" w:rsidRPr="00F13E4F" w:rsidRDefault="00946FD2" w:rsidP="00F13E4F">
            <w:pPr>
              <w:tabs>
                <w:tab w:val="left" w:pos="1665"/>
              </w:tabs>
              <w:spacing w:before="100" w:after="100"/>
              <w:rPr>
                <w:rFonts w:cs="Arial"/>
                <w:szCs w:val="24"/>
              </w:rPr>
            </w:pPr>
            <w:r>
              <w:rPr>
                <w:rFonts w:cs="Arial"/>
                <w:szCs w:val="24"/>
              </w:rPr>
              <w:t>Chemistry</w:t>
            </w:r>
          </w:p>
        </w:tc>
      </w:tr>
      <w:tr w:rsidR="00196D83" w:rsidRPr="00F13E4F" w14:paraId="7BDFCF01" w14:textId="77777777" w:rsidTr="00F13E4F">
        <w:tc>
          <w:tcPr>
            <w:tcW w:w="4077" w:type="dxa"/>
            <w:vAlign w:val="center"/>
          </w:tcPr>
          <w:p w14:paraId="43AFCADF" w14:textId="77777777" w:rsidR="00196D83" w:rsidRPr="00F13E4F" w:rsidRDefault="00196D83" w:rsidP="00F13E4F">
            <w:pPr>
              <w:tabs>
                <w:tab w:val="left" w:pos="1665"/>
              </w:tabs>
              <w:spacing w:before="100" w:after="100"/>
              <w:rPr>
                <w:rFonts w:cs="Arial"/>
                <w:b/>
                <w:szCs w:val="24"/>
              </w:rPr>
            </w:pPr>
            <w:r w:rsidRPr="00F13E4F">
              <w:rPr>
                <w:rFonts w:cs="Arial"/>
                <w:b/>
                <w:szCs w:val="24"/>
              </w:rPr>
              <w:t>Domain</w:t>
            </w:r>
          </w:p>
        </w:tc>
        <w:tc>
          <w:tcPr>
            <w:tcW w:w="5776" w:type="dxa"/>
            <w:vAlign w:val="center"/>
          </w:tcPr>
          <w:p w14:paraId="4A06A474" w14:textId="77777777" w:rsidR="00196D83" w:rsidRPr="00F13E4F" w:rsidRDefault="00780465" w:rsidP="00F13E4F">
            <w:pPr>
              <w:tabs>
                <w:tab w:val="left" w:pos="1665"/>
              </w:tabs>
              <w:spacing w:before="100" w:after="100"/>
              <w:rPr>
                <w:rFonts w:cs="Arial"/>
                <w:szCs w:val="24"/>
              </w:rPr>
            </w:pPr>
            <w:r w:rsidRPr="00F13E4F">
              <w:rPr>
                <w:rFonts w:cs="Arial"/>
                <w:szCs w:val="24"/>
              </w:rPr>
              <w:t>Chemistry</w:t>
            </w:r>
          </w:p>
        </w:tc>
      </w:tr>
      <w:tr w:rsidR="00196D83" w:rsidRPr="00F13E4F" w14:paraId="210C30BD" w14:textId="77777777" w:rsidTr="00F13E4F">
        <w:tc>
          <w:tcPr>
            <w:tcW w:w="4077" w:type="dxa"/>
            <w:vAlign w:val="center"/>
          </w:tcPr>
          <w:p w14:paraId="54154389" w14:textId="77777777" w:rsidR="00196D83" w:rsidRPr="00F13E4F" w:rsidRDefault="00196D83" w:rsidP="00F13E4F">
            <w:pPr>
              <w:tabs>
                <w:tab w:val="left" w:pos="1665"/>
              </w:tabs>
              <w:spacing w:before="100" w:after="100"/>
              <w:rPr>
                <w:rFonts w:cs="Arial"/>
                <w:b/>
                <w:szCs w:val="24"/>
              </w:rPr>
            </w:pPr>
            <w:r w:rsidRPr="00F13E4F">
              <w:rPr>
                <w:rFonts w:cs="Arial"/>
                <w:b/>
                <w:szCs w:val="24"/>
              </w:rPr>
              <w:t>Level</w:t>
            </w:r>
          </w:p>
        </w:tc>
        <w:tc>
          <w:tcPr>
            <w:tcW w:w="5776" w:type="dxa"/>
            <w:vAlign w:val="center"/>
          </w:tcPr>
          <w:p w14:paraId="4ECCC772" w14:textId="77777777" w:rsidR="00196D83" w:rsidRPr="00F13E4F" w:rsidRDefault="008B5B9E" w:rsidP="00F13E4F">
            <w:pPr>
              <w:tabs>
                <w:tab w:val="left" w:pos="1665"/>
              </w:tabs>
              <w:spacing w:before="100" w:after="100"/>
              <w:rPr>
                <w:rFonts w:cs="Arial"/>
                <w:szCs w:val="24"/>
              </w:rPr>
            </w:pPr>
            <w:r w:rsidRPr="00F13E4F">
              <w:rPr>
                <w:rFonts w:cs="Arial"/>
                <w:szCs w:val="24"/>
              </w:rPr>
              <w:t>2</w:t>
            </w:r>
          </w:p>
        </w:tc>
      </w:tr>
    </w:tbl>
    <w:p w14:paraId="6BB691B5" w14:textId="77777777" w:rsidR="00690531" w:rsidRDefault="00690531" w:rsidP="00690531">
      <w:pPr>
        <w:tabs>
          <w:tab w:val="right" w:leader="underscore" w:pos="9781"/>
        </w:tabs>
        <w:rPr>
          <w:rFonts w:cs="Arial"/>
          <w:szCs w:val="24"/>
        </w:rPr>
      </w:pPr>
      <w:r>
        <w:rPr>
          <w:rFonts w:cs="Arial"/>
          <w:szCs w:val="24"/>
        </w:rPr>
        <w:tab/>
      </w:r>
    </w:p>
    <w:p w14:paraId="5600BECB" w14:textId="77777777" w:rsidR="00D6484B" w:rsidRDefault="00D6484B">
      <w:pPr>
        <w:rPr>
          <w:rFonts w:cs="Arial"/>
          <w:b/>
          <w:color w:val="000000"/>
          <w:szCs w:val="24"/>
        </w:rPr>
      </w:pPr>
    </w:p>
    <w:p w14:paraId="75A45D44" w14:textId="77777777" w:rsidR="00C15CC0" w:rsidRPr="00991419" w:rsidRDefault="00C15CC0" w:rsidP="00C15CC0">
      <w:pPr>
        <w:rPr>
          <w:rFonts w:cs="Arial"/>
          <w:szCs w:val="24"/>
        </w:rPr>
      </w:pPr>
      <w:r w:rsidRPr="00991419">
        <w:rPr>
          <w:rFonts w:cs="Arial"/>
          <w:b/>
          <w:bCs/>
          <w:szCs w:val="24"/>
        </w:rPr>
        <w:t>Conditions of Assessment</w:t>
      </w:r>
      <w:r w:rsidRPr="00991419">
        <w:rPr>
          <w:rFonts w:cs="Arial"/>
          <w:szCs w:val="24"/>
        </w:rPr>
        <w:t> </w:t>
      </w:r>
    </w:p>
    <w:p w14:paraId="3D9AECA5" w14:textId="77777777" w:rsidR="00C15CC0" w:rsidRDefault="00C15CC0" w:rsidP="00C15CC0">
      <w:pPr>
        <w:rPr>
          <w:rFonts w:cs="Arial"/>
          <w:szCs w:val="24"/>
        </w:rPr>
      </w:pPr>
    </w:p>
    <w:p w14:paraId="7B7541FE" w14:textId="77777777" w:rsidR="00C15CC0" w:rsidRPr="00991419" w:rsidRDefault="00C15CC0" w:rsidP="00C15CC0">
      <w:pPr>
        <w:rPr>
          <w:rFonts w:cs="Arial"/>
          <w:szCs w:val="24"/>
        </w:rPr>
      </w:pPr>
      <w:r w:rsidRPr="00991419">
        <w:rPr>
          <w:rFonts w:cs="Arial"/>
          <w:szCs w:val="24"/>
        </w:rPr>
        <w:t>These Conditions provide guidelines for assessment against internally assessed Achievement Standards. Guidance is provided on: </w:t>
      </w:r>
    </w:p>
    <w:p w14:paraId="5C71951F" w14:textId="77777777" w:rsidR="00C15CC0" w:rsidRPr="00991419" w:rsidRDefault="00C15CC0" w:rsidP="00C15CC0">
      <w:pPr>
        <w:numPr>
          <w:ilvl w:val="0"/>
          <w:numId w:val="38"/>
        </w:numPr>
        <w:suppressAutoHyphens w:val="0"/>
        <w:spacing w:before="60" w:after="60"/>
        <w:ind w:left="714" w:hanging="357"/>
        <w:rPr>
          <w:rFonts w:cs="Arial"/>
          <w:szCs w:val="24"/>
        </w:rPr>
      </w:pPr>
      <w:r w:rsidRPr="00991419">
        <w:rPr>
          <w:rFonts w:cs="Arial"/>
          <w:szCs w:val="24"/>
        </w:rPr>
        <w:t>specific requirements for all assessments against this Standard </w:t>
      </w:r>
    </w:p>
    <w:p w14:paraId="0C72BD2D" w14:textId="77777777" w:rsidR="00C15CC0" w:rsidRPr="00991419" w:rsidRDefault="00C15CC0" w:rsidP="00C15CC0">
      <w:pPr>
        <w:numPr>
          <w:ilvl w:val="0"/>
          <w:numId w:val="39"/>
        </w:numPr>
        <w:suppressAutoHyphens w:val="0"/>
        <w:spacing w:before="60" w:after="60"/>
        <w:ind w:left="714" w:hanging="357"/>
        <w:rPr>
          <w:rFonts w:cs="Arial"/>
          <w:szCs w:val="24"/>
        </w:rPr>
      </w:pPr>
      <w:r w:rsidRPr="00991419">
        <w:rPr>
          <w:rFonts w:cs="Arial"/>
          <w:szCs w:val="24"/>
        </w:rPr>
        <w:t>appropriate ways of, and conditions for, gathering evidence </w:t>
      </w:r>
    </w:p>
    <w:p w14:paraId="28D024F1" w14:textId="77777777" w:rsidR="00C15CC0" w:rsidRPr="00991419" w:rsidRDefault="00C15CC0" w:rsidP="00C15CC0">
      <w:pPr>
        <w:numPr>
          <w:ilvl w:val="0"/>
          <w:numId w:val="40"/>
        </w:numPr>
        <w:suppressAutoHyphens w:val="0"/>
        <w:spacing w:before="60" w:after="60"/>
        <w:ind w:left="714" w:hanging="357"/>
        <w:rPr>
          <w:rFonts w:cs="Arial"/>
          <w:szCs w:val="24"/>
        </w:rPr>
      </w:pPr>
      <w:r w:rsidRPr="00991419">
        <w:rPr>
          <w:rFonts w:cs="Arial"/>
          <w:szCs w:val="24"/>
        </w:rPr>
        <w:t>ensuring that evidence is authentic. </w:t>
      </w:r>
    </w:p>
    <w:p w14:paraId="5425F0DD" w14:textId="77777777" w:rsidR="00C15CC0" w:rsidRDefault="00C15CC0" w:rsidP="00C15CC0">
      <w:pPr>
        <w:rPr>
          <w:rFonts w:cs="Arial"/>
          <w:szCs w:val="24"/>
        </w:rPr>
      </w:pPr>
    </w:p>
    <w:p w14:paraId="4E963AC8" w14:textId="77777777" w:rsidR="00C15CC0" w:rsidRPr="00991419" w:rsidRDefault="00C15CC0" w:rsidP="00C15CC0">
      <w:pPr>
        <w:rPr>
          <w:rFonts w:cs="Arial"/>
          <w:szCs w:val="24"/>
        </w:rPr>
      </w:pPr>
      <w:r w:rsidRPr="00991419">
        <w:rPr>
          <w:rFonts w:cs="Arial"/>
          <w:szCs w:val="24"/>
        </w:rPr>
        <w:t xml:space="preserve">Assessors must be familiar with guidance on assessment practice in learning centres, including enforcing timeframes and deadlines. The </w:t>
      </w:r>
      <w:hyperlink r:id="rId10">
        <w:r w:rsidRPr="00991419">
          <w:rPr>
            <w:rStyle w:val="Hyperlink"/>
            <w:rFonts w:cs="Arial"/>
            <w:szCs w:val="24"/>
          </w:rPr>
          <w:t>NZQA</w:t>
        </w:r>
      </w:hyperlink>
      <w:r w:rsidRPr="00991419">
        <w:rPr>
          <w:rFonts w:cs="Arial"/>
          <w:szCs w:val="24"/>
        </w:rPr>
        <w:t xml:space="preserve"> website offers resources that would be useful to read in conjunction with these Conditions of Assessment. </w:t>
      </w:r>
    </w:p>
    <w:p w14:paraId="7459E518" w14:textId="77777777" w:rsidR="00C15CC0" w:rsidRDefault="00C15CC0" w:rsidP="00C15CC0">
      <w:pPr>
        <w:rPr>
          <w:rFonts w:cs="Arial"/>
          <w:szCs w:val="24"/>
        </w:rPr>
      </w:pPr>
    </w:p>
    <w:p w14:paraId="37B6ACC6" w14:textId="54673F82" w:rsidR="00C15CC0" w:rsidRPr="00991419" w:rsidRDefault="00C15CC0" w:rsidP="00C15CC0">
      <w:pPr>
        <w:rPr>
          <w:rFonts w:cs="Arial"/>
          <w:szCs w:val="24"/>
        </w:rPr>
      </w:pPr>
      <w:r w:rsidRPr="00991419">
        <w:rPr>
          <w:rFonts w:cs="Arial"/>
          <w:szCs w:val="24"/>
        </w:rPr>
        <w:t xml:space="preserve">The learning centre’s Assessment Policy and Conditions of Assessment must be consistent with NZQA’s </w:t>
      </w:r>
      <w:hyperlink r:id="rId11" w:tgtFrame="_blank" w:history="1">
        <w:r w:rsidRPr="00991419">
          <w:rPr>
            <w:rStyle w:val="Hyperlink"/>
            <w:rFonts w:cs="Arial"/>
            <w:szCs w:val="24"/>
          </w:rPr>
          <w:t>Assessment Rules for Schools with Consent to Assess</w:t>
        </w:r>
      </w:hyperlink>
      <w:r w:rsidRPr="00991419">
        <w:rPr>
          <w:rFonts w:cs="Arial"/>
          <w:szCs w:val="24"/>
        </w:rPr>
        <w:t>. This link includes guidance for managing internal moderation and the collection of evidence. </w:t>
      </w:r>
    </w:p>
    <w:p w14:paraId="760F06DC" w14:textId="77777777" w:rsidR="00C15CC0" w:rsidRDefault="00C15CC0" w:rsidP="00C15CC0">
      <w:pPr>
        <w:rPr>
          <w:rFonts w:cs="Arial"/>
          <w:b/>
          <w:bCs/>
          <w:szCs w:val="24"/>
        </w:rPr>
      </w:pPr>
    </w:p>
    <w:p w14:paraId="39872B72" w14:textId="77777777" w:rsidR="00C15CC0" w:rsidRPr="00991419" w:rsidRDefault="00C15CC0" w:rsidP="00C15CC0">
      <w:pPr>
        <w:rPr>
          <w:rFonts w:cs="Arial"/>
          <w:szCs w:val="24"/>
        </w:rPr>
      </w:pPr>
      <w:r w:rsidRPr="00991419">
        <w:rPr>
          <w:rFonts w:cs="Arial"/>
          <w:b/>
          <w:bCs/>
          <w:szCs w:val="24"/>
        </w:rPr>
        <w:t>Gathering Evidence</w:t>
      </w:r>
      <w:r w:rsidRPr="00991419">
        <w:rPr>
          <w:rFonts w:cs="Arial"/>
          <w:szCs w:val="24"/>
        </w:rPr>
        <w:t> </w:t>
      </w:r>
    </w:p>
    <w:p w14:paraId="119A8245" w14:textId="77777777" w:rsidR="00C15CC0" w:rsidRDefault="00C15CC0" w:rsidP="00C15CC0">
      <w:pPr>
        <w:rPr>
          <w:rFonts w:cs="Arial"/>
          <w:szCs w:val="24"/>
        </w:rPr>
      </w:pPr>
    </w:p>
    <w:p w14:paraId="6F8439FA" w14:textId="77777777" w:rsidR="00C15CC0" w:rsidRPr="00991419" w:rsidRDefault="00C15CC0" w:rsidP="00C15CC0">
      <w:pPr>
        <w:rPr>
          <w:rFonts w:cs="Arial"/>
          <w:szCs w:val="24"/>
        </w:rPr>
      </w:pPr>
      <w:r w:rsidRPr="00991419">
        <w:rPr>
          <w:rFonts w:cs="Arial"/>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3EB10C67" w14:textId="77777777" w:rsidR="00C15CC0" w:rsidRDefault="00C15CC0" w:rsidP="00C15CC0">
      <w:pPr>
        <w:rPr>
          <w:rFonts w:cs="Arial"/>
          <w:szCs w:val="24"/>
        </w:rPr>
      </w:pPr>
    </w:p>
    <w:p w14:paraId="2935AA81" w14:textId="77777777" w:rsidR="00C15CC0" w:rsidRPr="00991419" w:rsidRDefault="00C15CC0" w:rsidP="00C15CC0">
      <w:pPr>
        <w:rPr>
          <w:rFonts w:cs="Arial"/>
          <w:szCs w:val="24"/>
        </w:rPr>
      </w:pPr>
      <w:r w:rsidRPr="00991419">
        <w:rPr>
          <w:rFonts w:cs="Arial"/>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0ADADD99" w14:textId="77777777" w:rsidR="00C15CC0" w:rsidRDefault="00C15CC0" w:rsidP="00C15CC0">
      <w:pPr>
        <w:rPr>
          <w:rFonts w:cs="Arial"/>
          <w:szCs w:val="24"/>
        </w:rPr>
      </w:pPr>
    </w:p>
    <w:p w14:paraId="0973FC0B" w14:textId="77777777" w:rsidR="00C15CC0" w:rsidRPr="00991419" w:rsidRDefault="00C15CC0" w:rsidP="00C15CC0">
      <w:pPr>
        <w:rPr>
          <w:rFonts w:cs="Arial"/>
          <w:szCs w:val="24"/>
        </w:rPr>
      </w:pPr>
      <w:r w:rsidRPr="00991419">
        <w:rPr>
          <w:rFonts w:cs="Arial"/>
          <w:szCs w:val="24"/>
        </w:rPr>
        <w:lastRenderedPageBreak/>
        <w:t>Effective assessment should suit the nature of the learning being assessed, provide opportunities to meet the diverse needs of all students, and be valid and fair. </w:t>
      </w:r>
    </w:p>
    <w:p w14:paraId="4198F415" w14:textId="77777777" w:rsidR="00C15CC0" w:rsidRDefault="00C15CC0" w:rsidP="00C15CC0">
      <w:pPr>
        <w:rPr>
          <w:rFonts w:cs="Arial"/>
          <w:b/>
          <w:bCs/>
          <w:szCs w:val="24"/>
        </w:rPr>
      </w:pPr>
    </w:p>
    <w:p w14:paraId="23D8AB6A" w14:textId="77777777" w:rsidR="00C15CC0" w:rsidRPr="00991419" w:rsidRDefault="00C15CC0" w:rsidP="00C15CC0">
      <w:pPr>
        <w:rPr>
          <w:rFonts w:cs="Arial"/>
          <w:szCs w:val="24"/>
        </w:rPr>
      </w:pPr>
      <w:r w:rsidRPr="00991419">
        <w:rPr>
          <w:rFonts w:cs="Arial"/>
          <w:b/>
          <w:bCs/>
          <w:szCs w:val="24"/>
        </w:rPr>
        <w:t>Ensuring Authenticity of Evidence</w:t>
      </w:r>
      <w:r w:rsidRPr="00991419">
        <w:rPr>
          <w:rFonts w:cs="Arial"/>
          <w:szCs w:val="24"/>
        </w:rPr>
        <w:t>  </w:t>
      </w:r>
    </w:p>
    <w:p w14:paraId="4A34B68F" w14:textId="77777777" w:rsidR="00C15CC0" w:rsidRDefault="00C15CC0" w:rsidP="00C15CC0">
      <w:pPr>
        <w:rPr>
          <w:rFonts w:cs="Arial"/>
          <w:szCs w:val="24"/>
        </w:rPr>
      </w:pPr>
    </w:p>
    <w:p w14:paraId="634C5680" w14:textId="77777777" w:rsidR="00C15CC0" w:rsidRPr="00991419" w:rsidRDefault="00C15CC0" w:rsidP="00C15CC0">
      <w:pPr>
        <w:rPr>
          <w:rFonts w:cs="Arial"/>
          <w:szCs w:val="24"/>
        </w:rPr>
      </w:pPr>
      <w:hyperlink r:id="rId12" w:tgtFrame="_blank" w:history="1">
        <w:r w:rsidRPr="00991419">
          <w:rPr>
            <w:rStyle w:val="Hyperlink"/>
            <w:rFonts w:cs="Arial"/>
            <w:szCs w:val="24"/>
          </w:rPr>
          <w:t>Authenticity</w:t>
        </w:r>
      </w:hyperlink>
      <w:r w:rsidRPr="00991419">
        <w:rPr>
          <w:rFonts w:cs="Arial"/>
          <w:szCs w:val="24"/>
        </w:rPr>
        <w:t> of student evidence needs to be assured regardless of the method of collecting evidence. This must be in line with the learning centre’s policy and NZQA’s </w:t>
      </w:r>
      <w:hyperlink r:id="rId13" w:tgtFrame="_blank" w:history="1">
        <w:r w:rsidRPr="00991419">
          <w:rPr>
            <w:rStyle w:val="Hyperlink"/>
            <w:rFonts w:cs="Arial"/>
            <w:szCs w:val="24"/>
          </w:rPr>
          <w:t>Assessment Rules for Schools with Consent to Assess</w:t>
        </w:r>
      </w:hyperlink>
      <w:r w:rsidRPr="00991419">
        <w:rPr>
          <w:rFonts w:cs="Arial"/>
          <w:szCs w:val="24"/>
        </w:rPr>
        <w:t>.  </w:t>
      </w:r>
    </w:p>
    <w:p w14:paraId="029F6271" w14:textId="77777777" w:rsidR="00C15CC0" w:rsidRDefault="00C15CC0" w:rsidP="00C15CC0">
      <w:pPr>
        <w:rPr>
          <w:rFonts w:cs="Arial"/>
          <w:szCs w:val="24"/>
        </w:rPr>
      </w:pPr>
    </w:p>
    <w:p w14:paraId="379038C8" w14:textId="77777777" w:rsidR="00C15CC0" w:rsidRPr="00991419" w:rsidRDefault="00C15CC0" w:rsidP="00C15CC0">
      <w:pPr>
        <w:rPr>
          <w:rFonts w:cs="Arial"/>
          <w:szCs w:val="24"/>
        </w:rPr>
      </w:pPr>
      <w:r w:rsidRPr="00991419">
        <w:rPr>
          <w:rFonts w:cs="Arial"/>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2DF1F2F" w14:textId="77777777" w:rsidR="00C15CC0" w:rsidRPr="00991419" w:rsidRDefault="00C15CC0" w:rsidP="00C15CC0">
      <w:pPr>
        <w:numPr>
          <w:ilvl w:val="0"/>
          <w:numId w:val="41"/>
        </w:numPr>
        <w:suppressAutoHyphens w:val="0"/>
        <w:spacing w:before="60" w:after="60"/>
        <w:ind w:left="714" w:hanging="357"/>
        <w:rPr>
          <w:rFonts w:cs="Arial"/>
          <w:szCs w:val="24"/>
        </w:rPr>
      </w:pPr>
      <w:r w:rsidRPr="00991419">
        <w:rPr>
          <w:rFonts w:cs="Arial"/>
          <w:szCs w:val="24"/>
        </w:rPr>
        <w:t xml:space="preserve">teacher guidance on the nature and extent of </w:t>
      </w:r>
      <w:hyperlink r:id="rId14" w:tgtFrame="_blank" w:history="1">
        <w:r w:rsidRPr="00991419">
          <w:rPr>
            <w:rStyle w:val="Hyperlink"/>
            <w:rFonts w:cs="Arial"/>
            <w:szCs w:val="24"/>
          </w:rPr>
          <w:t>acceptable GenAI use</w:t>
        </w:r>
      </w:hyperlink>
      <w:r w:rsidRPr="00991419">
        <w:rPr>
          <w:rFonts w:cs="Arial"/>
          <w:szCs w:val="24"/>
        </w:rPr>
        <w:t>, if any  </w:t>
      </w:r>
    </w:p>
    <w:p w14:paraId="34BC2657" w14:textId="77777777" w:rsidR="00C15CC0" w:rsidRPr="00991419" w:rsidRDefault="00C15CC0" w:rsidP="00C15CC0">
      <w:pPr>
        <w:numPr>
          <w:ilvl w:val="0"/>
          <w:numId w:val="41"/>
        </w:numPr>
        <w:suppressAutoHyphens w:val="0"/>
        <w:spacing w:before="60" w:after="60"/>
        <w:ind w:left="714" w:hanging="357"/>
        <w:rPr>
          <w:rFonts w:cs="Arial"/>
          <w:szCs w:val="24"/>
        </w:rPr>
      </w:pPr>
      <w:r w:rsidRPr="00991419">
        <w:rPr>
          <w:rFonts w:cs="Arial"/>
          <w:szCs w:val="24"/>
        </w:rPr>
        <w:t>assessor observations and conversations  </w:t>
      </w:r>
    </w:p>
    <w:p w14:paraId="3117B066" w14:textId="77777777" w:rsidR="00C15CC0" w:rsidRPr="00991419" w:rsidRDefault="00C15CC0" w:rsidP="00C15CC0">
      <w:pPr>
        <w:numPr>
          <w:ilvl w:val="0"/>
          <w:numId w:val="41"/>
        </w:numPr>
        <w:suppressAutoHyphens w:val="0"/>
        <w:spacing w:before="60" w:after="60"/>
        <w:ind w:left="714" w:hanging="357"/>
        <w:rPr>
          <w:rFonts w:cs="Arial"/>
          <w:szCs w:val="24"/>
        </w:rPr>
      </w:pPr>
      <w:r w:rsidRPr="00991419">
        <w:rPr>
          <w:rFonts w:cs="Arial"/>
          <w:szCs w:val="24"/>
        </w:rPr>
        <w:t>meeting with the student at set milestones or checkpoints  </w:t>
      </w:r>
    </w:p>
    <w:p w14:paraId="74D6F5E5" w14:textId="77777777" w:rsidR="00C15CC0" w:rsidRPr="00F77264" w:rsidRDefault="00C15CC0" w:rsidP="00C15CC0">
      <w:pPr>
        <w:numPr>
          <w:ilvl w:val="0"/>
          <w:numId w:val="41"/>
        </w:numPr>
        <w:suppressAutoHyphens w:val="0"/>
        <w:spacing w:before="60" w:after="60"/>
        <w:ind w:left="714" w:hanging="357"/>
      </w:pPr>
      <w:r w:rsidRPr="00991419">
        <w:rPr>
          <w:rFonts w:cs="Arial"/>
          <w:szCs w:val="24"/>
        </w:rPr>
        <w:t>the student’s record of progress, such as photographic entries or any GenAI prompts used. </w:t>
      </w:r>
    </w:p>
    <w:p w14:paraId="75A43EE9" w14:textId="77777777" w:rsidR="00857E92" w:rsidRDefault="00857E92">
      <w:pPr>
        <w:rPr>
          <w:rFonts w:cs="Arial"/>
          <w:b/>
          <w:sz w:val="26"/>
          <w:szCs w:val="26"/>
        </w:rPr>
      </w:pPr>
    </w:p>
    <w:p w14:paraId="390E6010" w14:textId="77777777" w:rsidR="00196D83" w:rsidRPr="00196D83" w:rsidRDefault="00196D83">
      <w:pPr>
        <w:rPr>
          <w:rFonts w:cs="Arial"/>
          <w:b/>
          <w:sz w:val="26"/>
          <w:szCs w:val="26"/>
        </w:rPr>
      </w:pPr>
      <w:r w:rsidRPr="00196D83">
        <w:rPr>
          <w:rFonts w:cs="Arial"/>
          <w:b/>
          <w:sz w:val="26"/>
          <w:szCs w:val="26"/>
        </w:rPr>
        <w:t xml:space="preserve">Specific Information for Individual </w:t>
      </w:r>
      <w:r w:rsidR="00412A90">
        <w:rPr>
          <w:rFonts w:cs="Arial"/>
          <w:b/>
          <w:sz w:val="26"/>
          <w:szCs w:val="26"/>
        </w:rPr>
        <w:t>In</w:t>
      </w:r>
      <w:r w:rsidRPr="00196D83">
        <w:rPr>
          <w:rFonts w:cs="Arial"/>
          <w:b/>
          <w:sz w:val="26"/>
          <w:szCs w:val="26"/>
        </w:rPr>
        <w:t>ternal Achievement Standards</w:t>
      </w:r>
    </w:p>
    <w:p w14:paraId="7788238B" w14:textId="77777777" w:rsidR="003F253E" w:rsidRPr="00196D83" w:rsidRDefault="003F253E">
      <w:pPr>
        <w:rPr>
          <w:rFonts w:cs="Arial"/>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F13E4F" w14:paraId="1ABB5C26" w14:textId="77777777" w:rsidTr="00F13E4F">
        <w:tc>
          <w:tcPr>
            <w:tcW w:w="4077" w:type="dxa"/>
            <w:vAlign w:val="center"/>
          </w:tcPr>
          <w:p w14:paraId="3CC8949E" w14:textId="77777777" w:rsidR="00196D83" w:rsidRPr="00F13E4F" w:rsidRDefault="00196D83" w:rsidP="00F13E4F">
            <w:pPr>
              <w:tabs>
                <w:tab w:val="left" w:pos="1665"/>
              </w:tabs>
              <w:spacing w:before="80" w:after="80"/>
              <w:rPr>
                <w:rFonts w:cs="Arial"/>
                <w:b/>
                <w:szCs w:val="24"/>
              </w:rPr>
            </w:pPr>
            <w:r w:rsidRPr="00F13E4F">
              <w:rPr>
                <w:rFonts w:cs="Arial"/>
                <w:b/>
                <w:szCs w:val="24"/>
              </w:rPr>
              <w:t>Achievement Standard Number</w:t>
            </w:r>
          </w:p>
        </w:tc>
        <w:tc>
          <w:tcPr>
            <w:tcW w:w="5776" w:type="dxa"/>
            <w:vAlign w:val="center"/>
          </w:tcPr>
          <w:p w14:paraId="75FA3475" w14:textId="77777777" w:rsidR="00196D83" w:rsidRPr="00F13E4F" w:rsidRDefault="003F2805" w:rsidP="003E785D">
            <w:pPr>
              <w:tabs>
                <w:tab w:val="left" w:pos="1665"/>
              </w:tabs>
              <w:spacing w:before="80" w:after="80"/>
              <w:rPr>
                <w:rFonts w:cs="Arial"/>
                <w:b/>
                <w:szCs w:val="24"/>
              </w:rPr>
            </w:pPr>
            <w:r w:rsidRPr="003F2805">
              <w:rPr>
                <w:rFonts w:cs="Arial"/>
                <w:b/>
                <w:szCs w:val="24"/>
              </w:rPr>
              <w:t>91</w:t>
            </w:r>
            <w:r w:rsidR="003E785D">
              <w:rPr>
                <w:rFonts w:cs="Arial"/>
                <w:b/>
                <w:szCs w:val="24"/>
              </w:rPr>
              <w:t>910</w:t>
            </w:r>
            <w:r w:rsidRPr="003F2805">
              <w:rPr>
                <w:rFonts w:cs="Arial"/>
                <w:b/>
                <w:szCs w:val="24"/>
              </w:rPr>
              <w:t xml:space="preserve"> Chemistry </w:t>
            </w:r>
            <w:r w:rsidR="008B5B9E" w:rsidRPr="00F13E4F">
              <w:rPr>
                <w:rFonts w:cs="Arial"/>
                <w:b/>
                <w:szCs w:val="24"/>
              </w:rPr>
              <w:t>2</w:t>
            </w:r>
            <w:r w:rsidR="00196D83" w:rsidRPr="00F13E4F">
              <w:rPr>
                <w:rFonts w:cs="Arial"/>
                <w:b/>
                <w:szCs w:val="24"/>
              </w:rPr>
              <w:t>.1</w:t>
            </w:r>
          </w:p>
        </w:tc>
      </w:tr>
      <w:tr w:rsidR="00196D83" w:rsidRPr="00F13E4F" w14:paraId="619E5A1B" w14:textId="77777777" w:rsidTr="00F13E4F">
        <w:tc>
          <w:tcPr>
            <w:tcW w:w="4077" w:type="dxa"/>
            <w:vAlign w:val="center"/>
          </w:tcPr>
          <w:p w14:paraId="20CAEA29" w14:textId="77777777" w:rsidR="00196D83" w:rsidRPr="00F13E4F" w:rsidRDefault="00196D83" w:rsidP="00F13E4F">
            <w:pPr>
              <w:tabs>
                <w:tab w:val="left" w:pos="1665"/>
              </w:tabs>
              <w:spacing w:before="80" w:after="80"/>
              <w:rPr>
                <w:rFonts w:cs="Arial"/>
                <w:b/>
                <w:szCs w:val="24"/>
              </w:rPr>
            </w:pPr>
            <w:r w:rsidRPr="00F13E4F">
              <w:rPr>
                <w:rFonts w:cs="Arial"/>
                <w:b/>
                <w:szCs w:val="24"/>
              </w:rPr>
              <w:t>Title</w:t>
            </w:r>
          </w:p>
        </w:tc>
        <w:tc>
          <w:tcPr>
            <w:tcW w:w="5776" w:type="dxa"/>
            <w:vAlign w:val="center"/>
          </w:tcPr>
          <w:p w14:paraId="2385DDE5" w14:textId="77777777" w:rsidR="00196D83" w:rsidRPr="00F13E4F" w:rsidRDefault="00F76837" w:rsidP="00F13E4F">
            <w:pPr>
              <w:tabs>
                <w:tab w:val="left" w:pos="1665"/>
              </w:tabs>
              <w:spacing w:before="80" w:after="80"/>
              <w:rPr>
                <w:rFonts w:cs="Arial"/>
                <w:szCs w:val="24"/>
              </w:rPr>
            </w:pPr>
            <w:r>
              <w:rPr>
                <w:rFonts w:cs="Arial"/>
              </w:rPr>
              <w:t>Carry out a practical investigation into</w:t>
            </w:r>
            <w:r w:rsidRPr="00A5747C">
              <w:rPr>
                <w:rFonts w:cs="Arial"/>
              </w:rPr>
              <w:t xml:space="preserve"> </w:t>
            </w:r>
            <w:r>
              <w:rPr>
                <w:rFonts w:cs="Arial"/>
              </w:rPr>
              <w:t>a substance present in a consumer product using quantit</w:t>
            </w:r>
            <w:r w:rsidRPr="00A5747C">
              <w:rPr>
                <w:rFonts w:cs="Arial"/>
              </w:rPr>
              <w:t>ative analysis</w:t>
            </w:r>
          </w:p>
        </w:tc>
      </w:tr>
      <w:tr w:rsidR="00196D83" w:rsidRPr="00F13E4F" w14:paraId="165F599A" w14:textId="77777777" w:rsidTr="00F13E4F">
        <w:tc>
          <w:tcPr>
            <w:tcW w:w="4077" w:type="dxa"/>
            <w:vAlign w:val="center"/>
          </w:tcPr>
          <w:p w14:paraId="12F39554" w14:textId="77777777" w:rsidR="00196D83" w:rsidRPr="00F13E4F" w:rsidRDefault="00196D83" w:rsidP="00F13E4F">
            <w:pPr>
              <w:tabs>
                <w:tab w:val="left" w:pos="1665"/>
              </w:tabs>
              <w:spacing w:before="80" w:after="80"/>
              <w:rPr>
                <w:rFonts w:cs="Arial"/>
                <w:b/>
                <w:szCs w:val="24"/>
              </w:rPr>
            </w:pPr>
            <w:r w:rsidRPr="00F13E4F">
              <w:rPr>
                <w:rFonts w:cs="Arial"/>
                <w:b/>
                <w:szCs w:val="24"/>
              </w:rPr>
              <w:t>Number of Credits</w:t>
            </w:r>
          </w:p>
        </w:tc>
        <w:tc>
          <w:tcPr>
            <w:tcW w:w="5776" w:type="dxa"/>
            <w:vAlign w:val="center"/>
          </w:tcPr>
          <w:p w14:paraId="25B470FD" w14:textId="77777777" w:rsidR="00196D83" w:rsidRPr="00F13E4F" w:rsidRDefault="00CF6E10" w:rsidP="00F13E4F">
            <w:pPr>
              <w:tabs>
                <w:tab w:val="left" w:pos="1665"/>
              </w:tabs>
              <w:spacing w:before="80" w:after="80"/>
              <w:rPr>
                <w:rFonts w:cs="Arial"/>
                <w:szCs w:val="24"/>
              </w:rPr>
            </w:pPr>
            <w:r w:rsidRPr="00F13E4F">
              <w:rPr>
                <w:rFonts w:cs="Arial"/>
                <w:szCs w:val="24"/>
              </w:rPr>
              <w:t>4</w:t>
            </w:r>
          </w:p>
        </w:tc>
      </w:tr>
      <w:tr w:rsidR="00196D83" w:rsidRPr="00F13E4F" w14:paraId="40AF2796" w14:textId="77777777" w:rsidTr="00F13E4F">
        <w:tc>
          <w:tcPr>
            <w:tcW w:w="4077" w:type="dxa"/>
            <w:vAlign w:val="center"/>
          </w:tcPr>
          <w:p w14:paraId="62FD2B8E" w14:textId="77777777" w:rsidR="00196D83" w:rsidRPr="00F13E4F" w:rsidRDefault="00196D83" w:rsidP="00F13E4F">
            <w:pPr>
              <w:tabs>
                <w:tab w:val="left" w:pos="1665"/>
              </w:tabs>
              <w:spacing w:before="80" w:after="80"/>
              <w:rPr>
                <w:rFonts w:cs="Arial"/>
                <w:b/>
                <w:szCs w:val="24"/>
              </w:rPr>
            </w:pPr>
            <w:r w:rsidRPr="00F13E4F">
              <w:rPr>
                <w:rFonts w:cs="Arial"/>
                <w:b/>
                <w:szCs w:val="24"/>
              </w:rPr>
              <w:t>Version</w:t>
            </w:r>
          </w:p>
        </w:tc>
        <w:tc>
          <w:tcPr>
            <w:tcW w:w="5776" w:type="dxa"/>
            <w:vAlign w:val="center"/>
          </w:tcPr>
          <w:p w14:paraId="257CD2C9" w14:textId="77777777" w:rsidR="00196D83" w:rsidRPr="00F13E4F" w:rsidRDefault="004B4C4E" w:rsidP="00F13E4F">
            <w:pPr>
              <w:tabs>
                <w:tab w:val="left" w:pos="1665"/>
              </w:tabs>
              <w:spacing w:before="80" w:after="80"/>
              <w:rPr>
                <w:rFonts w:cs="Arial"/>
                <w:szCs w:val="24"/>
              </w:rPr>
            </w:pPr>
            <w:r>
              <w:rPr>
                <w:rFonts w:cs="Arial"/>
                <w:szCs w:val="24"/>
              </w:rPr>
              <w:t>2</w:t>
            </w:r>
          </w:p>
        </w:tc>
      </w:tr>
    </w:tbl>
    <w:p w14:paraId="1A8E72AC" w14:textId="77777777" w:rsidR="00196D83" w:rsidRPr="00B6242B" w:rsidRDefault="00196D83" w:rsidP="00196D83">
      <w:pPr>
        <w:tabs>
          <w:tab w:val="left" w:pos="1665"/>
        </w:tabs>
        <w:rPr>
          <w:rFonts w:cs="Arial"/>
          <w:szCs w:val="24"/>
        </w:rPr>
      </w:pPr>
    </w:p>
    <w:p w14:paraId="65D1E768" w14:textId="77777777" w:rsidR="00F822D0" w:rsidRDefault="00F822D0" w:rsidP="00F822D0">
      <w:pPr>
        <w:rPr>
          <w:rFonts w:cs="Arial"/>
          <w:szCs w:val="24"/>
        </w:rPr>
      </w:pPr>
      <w:r w:rsidRPr="00A12FD1">
        <w:rPr>
          <w:rFonts w:cs="Arial"/>
          <w:szCs w:val="24"/>
        </w:rPr>
        <w:t xml:space="preserve">Assessment of this standard could involve </w:t>
      </w:r>
      <w:r w:rsidR="00E86963">
        <w:rPr>
          <w:rFonts w:cs="Arial"/>
          <w:szCs w:val="24"/>
        </w:rPr>
        <w:t xml:space="preserve">one extended activity or </w:t>
      </w:r>
      <w:r w:rsidRPr="00A12FD1">
        <w:rPr>
          <w:rFonts w:cs="Arial"/>
          <w:szCs w:val="24"/>
        </w:rPr>
        <w:t xml:space="preserve">a </w:t>
      </w:r>
      <w:r>
        <w:rPr>
          <w:rFonts w:cs="Arial"/>
          <w:szCs w:val="24"/>
        </w:rPr>
        <w:t>series of</w:t>
      </w:r>
      <w:r w:rsidR="007D1A30">
        <w:rPr>
          <w:rFonts w:cs="Arial"/>
          <w:szCs w:val="24"/>
        </w:rPr>
        <w:t xml:space="preserve"> supervised </w:t>
      </w:r>
      <w:r>
        <w:rPr>
          <w:rFonts w:cs="Arial"/>
          <w:szCs w:val="24"/>
        </w:rPr>
        <w:t>tasks</w:t>
      </w:r>
      <w:r w:rsidRPr="00A12FD1">
        <w:rPr>
          <w:rFonts w:cs="Arial"/>
          <w:szCs w:val="24"/>
        </w:rPr>
        <w:t xml:space="preserve">. </w:t>
      </w:r>
      <w:r w:rsidR="00926F98">
        <w:rPr>
          <w:rFonts w:cs="Arial"/>
          <w:szCs w:val="24"/>
        </w:rPr>
        <w:t xml:space="preserve">This will involve both practical and written components. </w:t>
      </w:r>
    </w:p>
    <w:p w14:paraId="40A76017" w14:textId="77777777" w:rsidR="00801BC1" w:rsidRDefault="00801BC1" w:rsidP="00F822D0">
      <w:pPr>
        <w:rPr>
          <w:rFonts w:cs="Arial"/>
          <w:szCs w:val="24"/>
        </w:rPr>
      </w:pPr>
    </w:p>
    <w:p w14:paraId="701E2DFD" w14:textId="77777777" w:rsidR="000D1BBA" w:rsidRDefault="000D1BBA" w:rsidP="000D1BBA">
      <w:pPr>
        <w:suppressAutoHyphens w:val="0"/>
        <w:rPr>
          <w:rFonts w:cs="Arial"/>
          <w:bCs/>
        </w:rPr>
      </w:pPr>
      <w:r>
        <w:rPr>
          <w:rFonts w:cs="Arial"/>
          <w:bCs/>
        </w:rPr>
        <w:t>Teachers need to conduct p</w:t>
      </w:r>
      <w:r w:rsidRPr="000D1BBA">
        <w:rPr>
          <w:rFonts w:cs="Arial"/>
          <w:bCs/>
        </w:rPr>
        <w:t>reliminary trials to identify any modifications required to the sample and/or the titration procedure to produce an appropriate outcome.</w:t>
      </w:r>
    </w:p>
    <w:p w14:paraId="50D748BB" w14:textId="77777777" w:rsidR="000D1BBA" w:rsidRPr="000D1BBA" w:rsidRDefault="000D1BBA" w:rsidP="000D1BBA">
      <w:pPr>
        <w:suppressAutoHyphens w:val="0"/>
        <w:rPr>
          <w:rFonts w:cs="Arial"/>
          <w:bCs/>
        </w:rPr>
      </w:pPr>
    </w:p>
    <w:p w14:paraId="6E0E17A8" w14:textId="77777777" w:rsidR="000D1BBA" w:rsidRDefault="000D1BBA" w:rsidP="000D1BBA">
      <w:pPr>
        <w:pStyle w:val="List"/>
        <w:spacing w:after="0"/>
        <w:rPr>
          <w:rFonts w:cs="Arial"/>
          <w:szCs w:val="24"/>
        </w:rPr>
      </w:pPr>
      <w:r>
        <w:rPr>
          <w:rFonts w:cs="Arial"/>
          <w:szCs w:val="24"/>
        </w:rPr>
        <w:t>Teachers need to ensure that appropriate Health and Safety procedures are followed.</w:t>
      </w:r>
    </w:p>
    <w:p w14:paraId="2DAE6D30" w14:textId="77777777" w:rsidR="000D1BBA" w:rsidRDefault="000D1BBA" w:rsidP="000D1BBA">
      <w:pPr>
        <w:pStyle w:val="List"/>
        <w:spacing w:after="0"/>
        <w:rPr>
          <w:rFonts w:cs="Times New Roman"/>
        </w:rPr>
      </w:pPr>
    </w:p>
    <w:p w14:paraId="179F864F" w14:textId="77777777" w:rsidR="000D1BBA" w:rsidRDefault="000D1BBA" w:rsidP="000D1BBA">
      <w:pPr>
        <w:pStyle w:val="List"/>
        <w:spacing w:after="0"/>
        <w:rPr>
          <w:rFonts w:cs="Times New Roman"/>
        </w:rPr>
      </w:pPr>
      <w:r>
        <w:rPr>
          <w:rFonts w:cs="Times New Roman"/>
        </w:rPr>
        <w:t>Enough</w:t>
      </w:r>
      <w:r w:rsidR="00B44C86">
        <w:rPr>
          <w:rFonts w:cs="Times New Roman"/>
        </w:rPr>
        <w:t xml:space="preserve"> time </w:t>
      </w:r>
      <w:r>
        <w:rPr>
          <w:rFonts w:cs="Times New Roman"/>
        </w:rPr>
        <w:t>needs to</w:t>
      </w:r>
      <w:r w:rsidR="00B44C86">
        <w:rPr>
          <w:rFonts w:cs="Times New Roman"/>
        </w:rPr>
        <w:t xml:space="preserve"> be given to students to allow them to gain a full understanding of the context of the investigation. </w:t>
      </w:r>
    </w:p>
    <w:p w14:paraId="5DF03D32" w14:textId="77777777" w:rsidR="000D1BBA" w:rsidRDefault="000D1BBA" w:rsidP="000D1BBA">
      <w:pPr>
        <w:pStyle w:val="List"/>
        <w:spacing w:after="0"/>
        <w:rPr>
          <w:rFonts w:cs="Times New Roman"/>
        </w:rPr>
      </w:pPr>
    </w:p>
    <w:p w14:paraId="64687F5A" w14:textId="77777777" w:rsidR="000D1BBA" w:rsidRDefault="00B44C86" w:rsidP="000D1BBA">
      <w:pPr>
        <w:pStyle w:val="List"/>
        <w:spacing w:after="0"/>
        <w:rPr>
          <w:rFonts w:cs="Times New Roman"/>
        </w:rPr>
      </w:pPr>
      <w:r>
        <w:rPr>
          <w:rFonts w:cs="Times New Roman"/>
        </w:rPr>
        <w:t>The students need to be provided with</w:t>
      </w:r>
      <w:r w:rsidR="000D1BBA">
        <w:rPr>
          <w:rFonts w:cs="Times New Roman"/>
        </w:rPr>
        <w:t>:</w:t>
      </w:r>
    </w:p>
    <w:p w14:paraId="17EA97E2" w14:textId="77777777" w:rsidR="000D1BBA" w:rsidRDefault="000D1BBA" w:rsidP="000D1BBA">
      <w:pPr>
        <w:pStyle w:val="List"/>
        <w:numPr>
          <w:ilvl w:val="0"/>
          <w:numId w:val="37"/>
        </w:numPr>
        <w:spacing w:after="0"/>
        <w:rPr>
          <w:rFonts w:cs="Arial"/>
          <w:bCs/>
        </w:rPr>
      </w:pPr>
      <w:r>
        <w:rPr>
          <w:rFonts w:cs="Times New Roman"/>
        </w:rPr>
        <w:t>t</w:t>
      </w:r>
      <w:r w:rsidRPr="000D1BBA">
        <w:rPr>
          <w:rFonts w:cs="Arial"/>
          <w:bCs/>
        </w:rPr>
        <w:t>he purpose of the investigation</w:t>
      </w:r>
    </w:p>
    <w:p w14:paraId="1DD17A11" w14:textId="77777777" w:rsidR="000D1BBA" w:rsidRDefault="000D1BBA" w:rsidP="000D1BBA">
      <w:pPr>
        <w:pStyle w:val="List"/>
        <w:numPr>
          <w:ilvl w:val="0"/>
          <w:numId w:val="37"/>
        </w:numPr>
        <w:spacing w:after="0"/>
        <w:rPr>
          <w:rFonts w:cs="Arial"/>
          <w:bCs/>
        </w:rPr>
      </w:pPr>
      <w:r w:rsidRPr="000D1BBA">
        <w:rPr>
          <w:rFonts w:cs="Arial"/>
          <w:bCs/>
        </w:rPr>
        <w:t>an appropriate titration procedure</w:t>
      </w:r>
    </w:p>
    <w:p w14:paraId="0844A42A" w14:textId="77777777" w:rsidR="000D1BBA" w:rsidRPr="000D1BBA" w:rsidRDefault="000D1BBA" w:rsidP="000D1BBA">
      <w:pPr>
        <w:pStyle w:val="List"/>
        <w:numPr>
          <w:ilvl w:val="0"/>
          <w:numId w:val="37"/>
        </w:numPr>
        <w:spacing w:after="0"/>
        <w:rPr>
          <w:rFonts w:cs="Times New Roman"/>
        </w:rPr>
      </w:pPr>
      <w:r w:rsidRPr="000D1BBA">
        <w:rPr>
          <w:rFonts w:cs="Arial"/>
          <w:bCs/>
        </w:rPr>
        <w:t>the consumer product</w:t>
      </w:r>
    </w:p>
    <w:p w14:paraId="4C5A8565" w14:textId="77777777" w:rsidR="00B44C86" w:rsidRDefault="00B44C86" w:rsidP="000D1BBA">
      <w:pPr>
        <w:pStyle w:val="List"/>
        <w:numPr>
          <w:ilvl w:val="0"/>
          <w:numId w:val="37"/>
        </w:numPr>
        <w:spacing w:after="0"/>
        <w:rPr>
          <w:rFonts w:cs="Times New Roman"/>
        </w:rPr>
      </w:pPr>
      <w:r>
        <w:rPr>
          <w:rFonts w:cs="Times New Roman"/>
        </w:rPr>
        <w:t>appropriate balanced equations.</w:t>
      </w:r>
    </w:p>
    <w:p w14:paraId="47BC5EFD" w14:textId="77777777" w:rsidR="00B44C86" w:rsidRDefault="00B44C86" w:rsidP="00037FE1">
      <w:pPr>
        <w:pStyle w:val="List"/>
        <w:spacing w:after="0"/>
        <w:rPr>
          <w:rFonts w:cs="Times New Roman"/>
        </w:rPr>
      </w:pPr>
    </w:p>
    <w:p w14:paraId="2094EDF3" w14:textId="77777777" w:rsidR="00B44C86" w:rsidRDefault="00B44C86" w:rsidP="00037FE1">
      <w:pPr>
        <w:pStyle w:val="List"/>
        <w:spacing w:after="0"/>
        <w:rPr>
          <w:rFonts w:cs="Times New Roman"/>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F13E4F" w14:paraId="31A557B5" w14:textId="77777777" w:rsidTr="00F13E4F">
        <w:tc>
          <w:tcPr>
            <w:tcW w:w="4077" w:type="dxa"/>
            <w:vAlign w:val="center"/>
          </w:tcPr>
          <w:p w14:paraId="0C79352F" w14:textId="77777777" w:rsidR="00FC0CCB" w:rsidRPr="00F13E4F" w:rsidRDefault="00FC0CCB" w:rsidP="00A237B1">
            <w:pPr>
              <w:keepNext/>
              <w:tabs>
                <w:tab w:val="left" w:pos="1665"/>
              </w:tabs>
              <w:suppressAutoHyphens w:val="0"/>
              <w:spacing w:before="80" w:after="80"/>
              <w:rPr>
                <w:rFonts w:cs="Arial"/>
                <w:b/>
                <w:szCs w:val="24"/>
              </w:rPr>
            </w:pPr>
            <w:r w:rsidRPr="00F13E4F">
              <w:rPr>
                <w:rFonts w:cs="Arial"/>
                <w:b/>
                <w:szCs w:val="24"/>
              </w:rPr>
              <w:t>Achievement Standard Number</w:t>
            </w:r>
          </w:p>
        </w:tc>
        <w:tc>
          <w:tcPr>
            <w:tcW w:w="5776" w:type="dxa"/>
            <w:vAlign w:val="center"/>
          </w:tcPr>
          <w:p w14:paraId="20F9FE81" w14:textId="77777777" w:rsidR="00FC0CCB" w:rsidRPr="00F13E4F" w:rsidRDefault="00F768AD" w:rsidP="003E785D">
            <w:pPr>
              <w:keepNext/>
              <w:tabs>
                <w:tab w:val="left" w:pos="1665"/>
              </w:tabs>
              <w:suppressAutoHyphens w:val="0"/>
              <w:spacing w:before="80" w:after="80"/>
              <w:rPr>
                <w:rFonts w:cs="Arial"/>
                <w:b/>
                <w:szCs w:val="24"/>
              </w:rPr>
            </w:pPr>
            <w:r w:rsidRPr="00F768AD">
              <w:rPr>
                <w:rFonts w:cs="Arial"/>
                <w:b/>
                <w:szCs w:val="24"/>
              </w:rPr>
              <w:t>9</w:t>
            </w:r>
            <w:r w:rsidR="00B44C86">
              <w:rPr>
                <w:rFonts w:cs="Arial"/>
                <w:b/>
                <w:szCs w:val="24"/>
              </w:rPr>
              <w:t>1</w:t>
            </w:r>
            <w:r w:rsidR="003E785D">
              <w:rPr>
                <w:rFonts w:cs="Arial"/>
                <w:b/>
                <w:szCs w:val="24"/>
              </w:rPr>
              <w:t>911</w:t>
            </w:r>
            <w:r w:rsidRPr="00F768AD">
              <w:rPr>
                <w:rFonts w:cs="Arial"/>
                <w:b/>
                <w:szCs w:val="24"/>
              </w:rPr>
              <w:t xml:space="preserve"> Chemistry </w:t>
            </w:r>
            <w:r w:rsidR="008B5B9E" w:rsidRPr="00F13E4F">
              <w:rPr>
                <w:rFonts w:cs="Arial"/>
                <w:b/>
                <w:szCs w:val="24"/>
              </w:rPr>
              <w:t>2</w:t>
            </w:r>
            <w:r w:rsidR="00FC0CCB" w:rsidRPr="00F13E4F">
              <w:rPr>
                <w:rFonts w:cs="Arial"/>
                <w:b/>
                <w:szCs w:val="24"/>
              </w:rPr>
              <w:t>.2</w:t>
            </w:r>
          </w:p>
        </w:tc>
      </w:tr>
      <w:tr w:rsidR="00FC0CCB" w:rsidRPr="00F13E4F" w14:paraId="3593E4A5" w14:textId="77777777" w:rsidTr="00F13E4F">
        <w:tc>
          <w:tcPr>
            <w:tcW w:w="4077" w:type="dxa"/>
            <w:vAlign w:val="center"/>
          </w:tcPr>
          <w:p w14:paraId="2F22811D" w14:textId="77777777" w:rsidR="00FC0CCB" w:rsidRPr="00F13E4F" w:rsidRDefault="00FC0CCB" w:rsidP="00A237B1">
            <w:pPr>
              <w:keepNext/>
              <w:tabs>
                <w:tab w:val="left" w:pos="1665"/>
              </w:tabs>
              <w:spacing w:before="80" w:after="80"/>
              <w:rPr>
                <w:rFonts w:cs="Arial"/>
                <w:b/>
                <w:szCs w:val="24"/>
              </w:rPr>
            </w:pPr>
            <w:r w:rsidRPr="00F13E4F">
              <w:rPr>
                <w:rFonts w:cs="Arial"/>
                <w:b/>
                <w:szCs w:val="24"/>
              </w:rPr>
              <w:t>Title</w:t>
            </w:r>
          </w:p>
        </w:tc>
        <w:tc>
          <w:tcPr>
            <w:tcW w:w="5776" w:type="dxa"/>
            <w:vAlign w:val="center"/>
          </w:tcPr>
          <w:p w14:paraId="59BFFE84" w14:textId="77777777" w:rsidR="00FC0CCB" w:rsidRPr="00F13E4F" w:rsidRDefault="00F76837" w:rsidP="00A237B1">
            <w:pPr>
              <w:keepNext/>
              <w:tabs>
                <w:tab w:val="left" w:pos="1665"/>
              </w:tabs>
              <w:spacing w:before="80" w:after="80"/>
              <w:rPr>
                <w:rFonts w:cs="Arial"/>
                <w:szCs w:val="24"/>
              </w:rPr>
            </w:pPr>
            <w:r>
              <w:rPr>
                <w:rFonts w:cs="Arial"/>
              </w:rPr>
              <w:t>Carry out an investigation into</w:t>
            </w:r>
            <w:r w:rsidRPr="00A5747C">
              <w:rPr>
                <w:rFonts w:cs="Arial"/>
              </w:rPr>
              <w:t xml:space="preserve"> chemical species present in a sample using qualitative analysis.</w:t>
            </w:r>
          </w:p>
        </w:tc>
      </w:tr>
      <w:tr w:rsidR="00FC0CCB" w:rsidRPr="00F13E4F" w14:paraId="74F3320C" w14:textId="77777777" w:rsidTr="00F13E4F">
        <w:tc>
          <w:tcPr>
            <w:tcW w:w="4077" w:type="dxa"/>
            <w:vAlign w:val="center"/>
          </w:tcPr>
          <w:p w14:paraId="05B76DDA" w14:textId="77777777" w:rsidR="00FC0CCB" w:rsidRPr="00F13E4F" w:rsidRDefault="00FC0CCB" w:rsidP="00A237B1">
            <w:pPr>
              <w:keepNext/>
              <w:tabs>
                <w:tab w:val="left" w:pos="1665"/>
              </w:tabs>
              <w:spacing w:before="80" w:after="80"/>
              <w:rPr>
                <w:rFonts w:cs="Arial"/>
                <w:b/>
                <w:szCs w:val="24"/>
              </w:rPr>
            </w:pPr>
            <w:r w:rsidRPr="00F13E4F">
              <w:rPr>
                <w:rFonts w:cs="Arial"/>
                <w:b/>
                <w:szCs w:val="24"/>
              </w:rPr>
              <w:t>Number of Credits</w:t>
            </w:r>
          </w:p>
        </w:tc>
        <w:tc>
          <w:tcPr>
            <w:tcW w:w="5776" w:type="dxa"/>
            <w:vAlign w:val="center"/>
          </w:tcPr>
          <w:p w14:paraId="68FE0ADA" w14:textId="77777777" w:rsidR="00FC0CCB" w:rsidRPr="00F13E4F" w:rsidRDefault="00CF6E10" w:rsidP="00A237B1">
            <w:pPr>
              <w:keepNext/>
              <w:tabs>
                <w:tab w:val="left" w:pos="1665"/>
              </w:tabs>
              <w:spacing w:before="80" w:after="80"/>
              <w:rPr>
                <w:rFonts w:cs="Arial"/>
                <w:szCs w:val="24"/>
              </w:rPr>
            </w:pPr>
            <w:r w:rsidRPr="00F13E4F">
              <w:rPr>
                <w:rFonts w:cs="Arial"/>
                <w:szCs w:val="24"/>
              </w:rPr>
              <w:t>3</w:t>
            </w:r>
          </w:p>
        </w:tc>
      </w:tr>
      <w:tr w:rsidR="00FC0CCB" w:rsidRPr="00F13E4F" w14:paraId="12ABF475" w14:textId="77777777" w:rsidTr="00F13E4F">
        <w:tc>
          <w:tcPr>
            <w:tcW w:w="4077" w:type="dxa"/>
            <w:vAlign w:val="center"/>
          </w:tcPr>
          <w:p w14:paraId="30D3E2EF" w14:textId="77777777" w:rsidR="00FC0CCB" w:rsidRPr="00F13E4F" w:rsidRDefault="00FC0CCB" w:rsidP="00A237B1">
            <w:pPr>
              <w:keepNext/>
              <w:tabs>
                <w:tab w:val="left" w:pos="1665"/>
              </w:tabs>
              <w:spacing w:before="80" w:after="80"/>
              <w:rPr>
                <w:rFonts w:cs="Arial"/>
                <w:b/>
                <w:szCs w:val="24"/>
              </w:rPr>
            </w:pPr>
            <w:r w:rsidRPr="00F13E4F">
              <w:rPr>
                <w:rFonts w:cs="Arial"/>
                <w:b/>
                <w:szCs w:val="24"/>
              </w:rPr>
              <w:t>Version</w:t>
            </w:r>
          </w:p>
        </w:tc>
        <w:tc>
          <w:tcPr>
            <w:tcW w:w="5776" w:type="dxa"/>
            <w:vAlign w:val="center"/>
          </w:tcPr>
          <w:p w14:paraId="4BB5A5F1" w14:textId="77777777" w:rsidR="00FC0CCB" w:rsidRPr="00F13E4F" w:rsidRDefault="004B4C4E" w:rsidP="00A237B1">
            <w:pPr>
              <w:keepNext/>
              <w:tabs>
                <w:tab w:val="left" w:pos="1665"/>
              </w:tabs>
              <w:spacing w:before="80" w:after="80"/>
              <w:rPr>
                <w:rFonts w:cs="Arial"/>
                <w:szCs w:val="24"/>
              </w:rPr>
            </w:pPr>
            <w:r>
              <w:rPr>
                <w:rFonts w:cs="Arial"/>
                <w:szCs w:val="24"/>
              </w:rPr>
              <w:t>2</w:t>
            </w:r>
          </w:p>
        </w:tc>
      </w:tr>
    </w:tbl>
    <w:p w14:paraId="69CDE12D" w14:textId="77777777" w:rsidR="008B5B9E" w:rsidRPr="008B5B9E" w:rsidRDefault="008B5B9E" w:rsidP="00A237B1">
      <w:pPr>
        <w:keepNext/>
        <w:rPr>
          <w:rFonts w:cs="Arial"/>
          <w:szCs w:val="24"/>
        </w:rPr>
      </w:pPr>
    </w:p>
    <w:p w14:paraId="1A446FCA" w14:textId="77777777" w:rsidR="008B0A0E" w:rsidRPr="00022AF1" w:rsidRDefault="00926F98" w:rsidP="008B0A0E">
      <w:pPr>
        <w:keepLines/>
        <w:rPr>
          <w:rFonts w:cs="Arial"/>
          <w:szCs w:val="24"/>
          <w:lang w:val="en-NZ"/>
        </w:rPr>
      </w:pPr>
      <w:r w:rsidRPr="00A12FD1">
        <w:rPr>
          <w:rFonts w:cs="Arial"/>
          <w:szCs w:val="24"/>
        </w:rPr>
        <w:t>Assessment of this standard involve</w:t>
      </w:r>
      <w:r>
        <w:rPr>
          <w:rFonts w:cs="Arial"/>
          <w:szCs w:val="24"/>
        </w:rPr>
        <w:t>s</w:t>
      </w:r>
      <w:r w:rsidRPr="00A12FD1">
        <w:rPr>
          <w:rFonts w:cs="Arial"/>
          <w:szCs w:val="24"/>
        </w:rPr>
        <w:t xml:space="preserve"> </w:t>
      </w:r>
      <w:r>
        <w:rPr>
          <w:rFonts w:cs="Arial"/>
          <w:szCs w:val="24"/>
        </w:rPr>
        <w:t xml:space="preserve">a practical activity and the associated written work. </w:t>
      </w:r>
    </w:p>
    <w:p w14:paraId="4E815633" w14:textId="77777777" w:rsidR="008B0A0E" w:rsidRDefault="008B0A0E" w:rsidP="008B0A0E">
      <w:pPr>
        <w:keepLines/>
        <w:rPr>
          <w:rFonts w:cs="Arial"/>
          <w:szCs w:val="24"/>
          <w:lang w:val="en-NZ"/>
        </w:rPr>
      </w:pPr>
      <w:r w:rsidRPr="00022AF1">
        <w:rPr>
          <w:rFonts w:cs="Arial"/>
          <w:szCs w:val="24"/>
          <w:lang w:val="en-NZ"/>
        </w:rPr>
        <w:t>Raw data may be collected and processed in small groups</w:t>
      </w:r>
      <w:r w:rsidR="00B44C86">
        <w:rPr>
          <w:rFonts w:cs="Arial"/>
          <w:szCs w:val="24"/>
          <w:lang w:val="en-NZ"/>
        </w:rPr>
        <w:t>,</w:t>
      </w:r>
      <w:r w:rsidRPr="00022AF1">
        <w:rPr>
          <w:rFonts w:cs="Arial"/>
          <w:szCs w:val="24"/>
          <w:lang w:val="en-NZ"/>
        </w:rPr>
        <w:t xml:space="preserve"> but the teacher needs to ensure that there is evidence that each student has met all aspects of the standard.</w:t>
      </w:r>
    </w:p>
    <w:p w14:paraId="52D4B6BF" w14:textId="77777777" w:rsidR="00B44C86" w:rsidRDefault="00B44C86" w:rsidP="008B0A0E">
      <w:pPr>
        <w:keepLines/>
        <w:rPr>
          <w:rFonts w:cs="Arial"/>
          <w:szCs w:val="24"/>
          <w:lang w:val="en-NZ"/>
        </w:rPr>
      </w:pPr>
    </w:p>
    <w:p w14:paraId="45739D85" w14:textId="77777777" w:rsidR="000D1BBA" w:rsidRDefault="000D1BBA" w:rsidP="00B44C86">
      <w:pPr>
        <w:pStyle w:val="List"/>
        <w:spacing w:after="0"/>
        <w:rPr>
          <w:rFonts w:cs="Arial"/>
          <w:szCs w:val="24"/>
        </w:rPr>
      </w:pPr>
      <w:r>
        <w:rPr>
          <w:rFonts w:cs="Arial"/>
          <w:szCs w:val="24"/>
        </w:rPr>
        <w:t>Teachers need to ensure that appropriate Health and Safety procedures are followed.</w:t>
      </w:r>
    </w:p>
    <w:p w14:paraId="7F6ED2E0" w14:textId="77777777" w:rsidR="000D1BBA" w:rsidRDefault="000D1BBA" w:rsidP="00B44C86">
      <w:pPr>
        <w:pStyle w:val="List"/>
        <w:spacing w:after="0"/>
        <w:rPr>
          <w:rFonts w:cs="Times New Roman"/>
        </w:rPr>
      </w:pPr>
    </w:p>
    <w:p w14:paraId="599CDA3A" w14:textId="77777777" w:rsidR="00B44C86" w:rsidRDefault="000D1BBA" w:rsidP="00B44C86">
      <w:pPr>
        <w:pStyle w:val="List"/>
        <w:spacing w:after="0"/>
        <w:rPr>
          <w:rFonts w:cs="Times New Roman"/>
        </w:rPr>
      </w:pPr>
      <w:r>
        <w:rPr>
          <w:rFonts w:cs="Times New Roman"/>
        </w:rPr>
        <w:t>Enough</w:t>
      </w:r>
      <w:r w:rsidR="00B44C86">
        <w:rPr>
          <w:rFonts w:cs="Times New Roman"/>
        </w:rPr>
        <w:t xml:space="preserve"> time </w:t>
      </w:r>
      <w:r>
        <w:rPr>
          <w:rFonts w:cs="Times New Roman"/>
        </w:rPr>
        <w:t>needs to</w:t>
      </w:r>
      <w:r w:rsidR="00B44C86">
        <w:rPr>
          <w:rFonts w:cs="Times New Roman"/>
        </w:rPr>
        <w:t xml:space="preserve"> be given to students to allow them to gain a full understanding of the context of the investigation. Teachers should provide them with </w:t>
      </w:r>
      <w:r w:rsidR="00643889">
        <w:rPr>
          <w:rFonts w:cs="Times New Roman"/>
        </w:rPr>
        <w:t>enough</w:t>
      </w:r>
      <w:r w:rsidR="00B44C86">
        <w:rPr>
          <w:rFonts w:cs="Times New Roman"/>
        </w:rPr>
        <w:t xml:space="preserve"> secondary data for this purpose.</w:t>
      </w:r>
    </w:p>
    <w:p w14:paraId="716CD0D6" w14:textId="77777777" w:rsidR="00926F98" w:rsidRDefault="00926F98" w:rsidP="00926F98">
      <w:pPr>
        <w:rPr>
          <w:rFonts w:cs="Arial"/>
          <w:szCs w:val="24"/>
        </w:rPr>
      </w:pPr>
    </w:p>
    <w:p w14:paraId="7694A5EA" w14:textId="77777777" w:rsidR="00A237B1" w:rsidRDefault="00B44C86" w:rsidP="00A237B1">
      <w:pPr>
        <w:rPr>
          <w:rFonts w:cs="Arial"/>
          <w:szCs w:val="24"/>
        </w:rPr>
      </w:pPr>
      <w:r>
        <w:rPr>
          <w:rFonts w:cs="Arial"/>
          <w:szCs w:val="24"/>
        </w:rPr>
        <w:t xml:space="preserve">Students need to be provided with an appropriate procedure, </w:t>
      </w:r>
      <w:r w:rsidR="00D81A2A">
        <w:rPr>
          <w:rFonts w:cs="Arial"/>
          <w:szCs w:val="24"/>
        </w:rPr>
        <w:t xml:space="preserve">together with relevant </w:t>
      </w:r>
      <w:r w:rsidR="00091670">
        <w:rPr>
          <w:rFonts w:cs="Arial"/>
          <w:szCs w:val="24"/>
        </w:rPr>
        <w:t xml:space="preserve">information such as </w:t>
      </w:r>
      <w:r>
        <w:rPr>
          <w:rFonts w:cs="Arial"/>
          <w:szCs w:val="24"/>
        </w:rPr>
        <w:t>solubility rules</w:t>
      </w:r>
      <w:r w:rsidR="00091670">
        <w:rPr>
          <w:rFonts w:cs="Arial"/>
          <w:szCs w:val="24"/>
        </w:rPr>
        <w:t xml:space="preserve"> and </w:t>
      </w:r>
      <w:r>
        <w:rPr>
          <w:rFonts w:cs="Arial"/>
          <w:szCs w:val="24"/>
        </w:rPr>
        <w:t>ions</w:t>
      </w:r>
      <w:r w:rsidR="00D81A2A">
        <w:rPr>
          <w:rFonts w:cs="Arial"/>
          <w:szCs w:val="24"/>
        </w:rPr>
        <w:t xml:space="preserve"> </w:t>
      </w:r>
      <w:r w:rsidR="00091670">
        <w:rPr>
          <w:rFonts w:cs="Arial"/>
          <w:szCs w:val="24"/>
        </w:rPr>
        <w:t>or</w:t>
      </w:r>
      <w:r w:rsidR="00D81A2A">
        <w:rPr>
          <w:rFonts w:cs="Arial"/>
          <w:szCs w:val="24"/>
        </w:rPr>
        <w:t xml:space="preserve"> functional groups of organic compounds.</w:t>
      </w:r>
    </w:p>
    <w:p w14:paraId="3FADEBBB" w14:textId="77777777" w:rsidR="00B44C86" w:rsidRDefault="00B44C86" w:rsidP="00A237B1">
      <w:pPr>
        <w:rPr>
          <w:rFonts w:cs="Arial"/>
          <w:szCs w:val="24"/>
        </w:rPr>
      </w:pPr>
    </w:p>
    <w:p w14:paraId="0E394A2A" w14:textId="77777777" w:rsidR="00A237B1" w:rsidRDefault="00A237B1" w:rsidP="00FC0CCB">
      <w:pPr>
        <w:rPr>
          <w:rFonts w:cs="Arial"/>
          <w:szCs w:val="24"/>
        </w:rPr>
      </w:pPr>
    </w:p>
    <w:p w14:paraId="46DEEFF2" w14:textId="77777777" w:rsidR="00B44C86" w:rsidRPr="008B5B9E" w:rsidRDefault="00B44C86" w:rsidP="00FC0CCB">
      <w:pPr>
        <w:rPr>
          <w:rFonts w:cs="Arial"/>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F13E4F" w14:paraId="00921870" w14:textId="77777777" w:rsidTr="00F13E4F">
        <w:tc>
          <w:tcPr>
            <w:tcW w:w="4077" w:type="dxa"/>
            <w:vAlign w:val="center"/>
          </w:tcPr>
          <w:p w14:paraId="71A7E3B6" w14:textId="77777777" w:rsidR="00FC0CCB" w:rsidRPr="00F13E4F" w:rsidRDefault="00FC0CCB" w:rsidP="00F13E4F">
            <w:pPr>
              <w:tabs>
                <w:tab w:val="left" w:pos="1665"/>
              </w:tabs>
              <w:spacing w:before="80" w:after="80"/>
              <w:rPr>
                <w:rFonts w:cs="Arial"/>
                <w:b/>
                <w:szCs w:val="24"/>
              </w:rPr>
            </w:pPr>
            <w:r w:rsidRPr="00F13E4F">
              <w:rPr>
                <w:rFonts w:cs="Arial"/>
                <w:b/>
                <w:szCs w:val="24"/>
              </w:rPr>
              <w:t>Achievement Standard Number</w:t>
            </w:r>
          </w:p>
        </w:tc>
        <w:tc>
          <w:tcPr>
            <w:tcW w:w="5776" w:type="dxa"/>
            <w:vAlign w:val="center"/>
          </w:tcPr>
          <w:p w14:paraId="50D7C44A" w14:textId="77777777" w:rsidR="00FC0CCB" w:rsidRPr="00F13E4F" w:rsidRDefault="00677270" w:rsidP="00F13E4F">
            <w:pPr>
              <w:tabs>
                <w:tab w:val="left" w:pos="1665"/>
              </w:tabs>
              <w:spacing w:before="80" w:after="80"/>
              <w:rPr>
                <w:rFonts w:cs="Arial"/>
                <w:b/>
                <w:szCs w:val="24"/>
              </w:rPr>
            </w:pPr>
            <w:r w:rsidRPr="00677270">
              <w:rPr>
                <w:rFonts w:cs="Arial"/>
                <w:b/>
                <w:szCs w:val="24"/>
              </w:rPr>
              <w:t xml:space="preserve">91163 Chemistry </w:t>
            </w:r>
            <w:r w:rsidR="008B5B9E" w:rsidRPr="00F13E4F">
              <w:rPr>
                <w:rFonts w:cs="Arial"/>
                <w:b/>
                <w:szCs w:val="24"/>
              </w:rPr>
              <w:t>2.3</w:t>
            </w:r>
          </w:p>
        </w:tc>
      </w:tr>
      <w:tr w:rsidR="00FC0CCB" w:rsidRPr="00F13E4F" w14:paraId="59502593" w14:textId="77777777" w:rsidTr="00F13E4F">
        <w:tc>
          <w:tcPr>
            <w:tcW w:w="4077" w:type="dxa"/>
            <w:vAlign w:val="center"/>
          </w:tcPr>
          <w:p w14:paraId="7FC03416" w14:textId="77777777" w:rsidR="00FC0CCB" w:rsidRPr="00F13E4F" w:rsidRDefault="00FC0CCB" w:rsidP="00F13E4F">
            <w:pPr>
              <w:tabs>
                <w:tab w:val="left" w:pos="1665"/>
              </w:tabs>
              <w:spacing w:before="80" w:after="80"/>
              <w:rPr>
                <w:rFonts w:cs="Arial"/>
                <w:b/>
                <w:szCs w:val="24"/>
              </w:rPr>
            </w:pPr>
            <w:r w:rsidRPr="00F13E4F">
              <w:rPr>
                <w:rFonts w:cs="Arial"/>
                <w:b/>
                <w:szCs w:val="24"/>
              </w:rPr>
              <w:t>Title</w:t>
            </w:r>
          </w:p>
        </w:tc>
        <w:tc>
          <w:tcPr>
            <w:tcW w:w="5776" w:type="dxa"/>
            <w:vAlign w:val="center"/>
          </w:tcPr>
          <w:p w14:paraId="0B9B2110" w14:textId="77777777" w:rsidR="00FC0CCB" w:rsidRPr="00F13E4F" w:rsidRDefault="00677270" w:rsidP="00F13E4F">
            <w:pPr>
              <w:tabs>
                <w:tab w:val="left" w:pos="1665"/>
              </w:tabs>
              <w:spacing w:before="80" w:after="80"/>
              <w:rPr>
                <w:rFonts w:cs="Arial"/>
                <w:szCs w:val="24"/>
              </w:rPr>
            </w:pPr>
            <w:r w:rsidRPr="00677270">
              <w:rPr>
                <w:rFonts w:cs="Arial"/>
                <w:szCs w:val="24"/>
              </w:rPr>
              <w:t>Demonstrate understanding of the chemistry used in the development of a current technology</w:t>
            </w:r>
          </w:p>
        </w:tc>
      </w:tr>
      <w:tr w:rsidR="00FC0CCB" w:rsidRPr="00F13E4F" w14:paraId="1DF5647D" w14:textId="77777777" w:rsidTr="00F13E4F">
        <w:tc>
          <w:tcPr>
            <w:tcW w:w="4077" w:type="dxa"/>
            <w:vAlign w:val="center"/>
          </w:tcPr>
          <w:p w14:paraId="72BE4C2B" w14:textId="77777777" w:rsidR="00FC0CCB" w:rsidRPr="00F13E4F" w:rsidRDefault="00FC0CCB" w:rsidP="00F13E4F">
            <w:pPr>
              <w:tabs>
                <w:tab w:val="left" w:pos="1665"/>
              </w:tabs>
              <w:spacing w:before="80" w:after="80"/>
              <w:rPr>
                <w:rFonts w:cs="Arial"/>
                <w:b/>
                <w:szCs w:val="24"/>
              </w:rPr>
            </w:pPr>
            <w:r w:rsidRPr="00F13E4F">
              <w:rPr>
                <w:rFonts w:cs="Arial"/>
                <w:b/>
                <w:szCs w:val="24"/>
              </w:rPr>
              <w:t>Number of Credits</w:t>
            </w:r>
          </w:p>
        </w:tc>
        <w:tc>
          <w:tcPr>
            <w:tcW w:w="5776" w:type="dxa"/>
            <w:vAlign w:val="center"/>
          </w:tcPr>
          <w:p w14:paraId="097D10AD" w14:textId="77777777" w:rsidR="00FC0CCB" w:rsidRPr="00F13E4F" w:rsidRDefault="00CF6E10" w:rsidP="00F13E4F">
            <w:pPr>
              <w:tabs>
                <w:tab w:val="left" w:pos="1665"/>
              </w:tabs>
              <w:spacing w:before="80" w:after="80"/>
              <w:rPr>
                <w:rFonts w:cs="Arial"/>
                <w:szCs w:val="24"/>
              </w:rPr>
            </w:pPr>
            <w:r w:rsidRPr="00F13E4F">
              <w:rPr>
                <w:rFonts w:cs="Arial"/>
                <w:szCs w:val="24"/>
              </w:rPr>
              <w:t>3</w:t>
            </w:r>
          </w:p>
        </w:tc>
      </w:tr>
      <w:tr w:rsidR="00FC0CCB" w:rsidRPr="00F13E4F" w14:paraId="1B08C530" w14:textId="77777777" w:rsidTr="00F13E4F">
        <w:tc>
          <w:tcPr>
            <w:tcW w:w="4077" w:type="dxa"/>
            <w:vAlign w:val="center"/>
          </w:tcPr>
          <w:p w14:paraId="6A1CC641" w14:textId="77777777" w:rsidR="00FC0CCB" w:rsidRPr="00F13E4F" w:rsidRDefault="00FC0CCB" w:rsidP="00F13E4F">
            <w:pPr>
              <w:tabs>
                <w:tab w:val="left" w:pos="1665"/>
              </w:tabs>
              <w:spacing w:before="80" w:after="80"/>
              <w:rPr>
                <w:rFonts w:cs="Arial"/>
                <w:b/>
                <w:szCs w:val="24"/>
              </w:rPr>
            </w:pPr>
            <w:r w:rsidRPr="00F13E4F">
              <w:rPr>
                <w:rFonts w:cs="Arial"/>
                <w:b/>
                <w:szCs w:val="24"/>
              </w:rPr>
              <w:t>Version</w:t>
            </w:r>
          </w:p>
        </w:tc>
        <w:tc>
          <w:tcPr>
            <w:tcW w:w="5776" w:type="dxa"/>
            <w:vAlign w:val="center"/>
          </w:tcPr>
          <w:p w14:paraId="6CEEAA51" w14:textId="77777777" w:rsidR="00FC0CCB" w:rsidRPr="00F13E4F" w:rsidRDefault="004B4C4E" w:rsidP="00F13E4F">
            <w:pPr>
              <w:tabs>
                <w:tab w:val="left" w:pos="1665"/>
              </w:tabs>
              <w:spacing w:before="80" w:after="80"/>
              <w:rPr>
                <w:rFonts w:cs="Arial"/>
                <w:szCs w:val="24"/>
              </w:rPr>
            </w:pPr>
            <w:r>
              <w:rPr>
                <w:rFonts w:cs="Arial"/>
                <w:szCs w:val="24"/>
              </w:rPr>
              <w:t>2</w:t>
            </w:r>
          </w:p>
        </w:tc>
      </w:tr>
    </w:tbl>
    <w:p w14:paraId="3A817B4F" w14:textId="77777777" w:rsidR="00FC0CCB" w:rsidRDefault="00FC0CCB" w:rsidP="00FC0CCB">
      <w:pPr>
        <w:tabs>
          <w:tab w:val="left" w:pos="1665"/>
        </w:tabs>
        <w:rPr>
          <w:rFonts w:cs="Arial"/>
          <w:szCs w:val="24"/>
        </w:rPr>
      </w:pPr>
    </w:p>
    <w:p w14:paraId="14645A5F" w14:textId="77777777" w:rsidR="00542CB9" w:rsidRDefault="00C21850" w:rsidP="00542CB9">
      <w:pPr>
        <w:keepLines/>
        <w:rPr>
          <w:rFonts w:cs="Arial"/>
          <w:szCs w:val="24"/>
          <w:lang w:val="en-NZ"/>
        </w:rPr>
      </w:pPr>
      <w:r w:rsidRPr="00A12FD1">
        <w:rPr>
          <w:rFonts w:cs="Arial"/>
          <w:szCs w:val="24"/>
        </w:rPr>
        <w:t>Assessment of this standard involve</w:t>
      </w:r>
      <w:r>
        <w:rPr>
          <w:rFonts w:cs="Arial"/>
          <w:szCs w:val="24"/>
        </w:rPr>
        <w:t>s</w:t>
      </w:r>
      <w:r w:rsidRPr="00A12FD1">
        <w:rPr>
          <w:rFonts w:cs="Arial"/>
          <w:szCs w:val="24"/>
        </w:rPr>
        <w:t xml:space="preserve"> </w:t>
      </w:r>
      <w:r w:rsidR="00B46D3D">
        <w:rPr>
          <w:rFonts w:cs="Arial"/>
          <w:szCs w:val="24"/>
        </w:rPr>
        <w:t xml:space="preserve">processing and interpreting </w:t>
      </w:r>
      <w:r w:rsidR="002F7345">
        <w:rPr>
          <w:rFonts w:cs="Arial"/>
          <w:szCs w:val="24"/>
        </w:rPr>
        <w:t>information</w:t>
      </w:r>
      <w:r w:rsidR="008B0A0E">
        <w:rPr>
          <w:rFonts w:cs="Arial"/>
          <w:szCs w:val="24"/>
        </w:rPr>
        <w:t xml:space="preserve">.  This could be provided by the teacher or the student may choose </w:t>
      </w:r>
      <w:r w:rsidR="00542CB9">
        <w:rPr>
          <w:rFonts w:cs="Arial"/>
          <w:szCs w:val="24"/>
        </w:rPr>
        <w:t>a development of a current technology.  In the latter c</w:t>
      </w:r>
      <w:r w:rsidR="00E20114">
        <w:rPr>
          <w:rFonts w:cs="Arial"/>
          <w:szCs w:val="24"/>
        </w:rPr>
        <w:t>ase the teacher would need to ap</w:t>
      </w:r>
      <w:r w:rsidR="00542CB9">
        <w:rPr>
          <w:rFonts w:cs="Arial"/>
          <w:szCs w:val="24"/>
        </w:rPr>
        <w:t>prove the suitability of the technology.</w:t>
      </w:r>
      <w:r w:rsidR="002F7345">
        <w:rPr>
          <w:rFonts w:cs="Arial"/>
          <w:szCs w:val="24"/>
        </w:rPr>
        <w:t xml:space="preserve"> </w:t>
      </w:r>
      <w:r>
        <w:rPr>
          <w:rFonts w:cs="Arial"/>
          <w:szCs w:val="24"/>
        </w:rPr>
        <w:t xml:space="preserve"> </w:t>
      </w:r>
      <w:r w:rsidR="00B46D3D">
        <w:rPr>
          <w:rFonts w:cs="Arial"/>
          <w:szCs w:val="24"/>
        </w:rPr>
        <w:t xml:space="preserve">Students may also use their own research </w:t>
      </w:r>
      <w:r w:rsidR="002F7345">
        <w:rPr>
          <w:rFonts w:cs="Arial"/>
          <w:szCs w:val="24"/>
        </w:rPr>
        <w:t>findings</w:t>
      </w:r>
      <w:r w:rsidR="00542CB9">
        <w:rPr>
          <w:rFonts w:cs="Arial"/>
          <w:szCs w:val="24"/>
        </w:rPr>
        <w:t xml:space="preserve"> </w:t>
      </w:r>
      <w:r w:rsidR="00542CB9">
        <w:rPr>
          <w:rFonts w:cs="Arial"/>
          <w:szCs w:val="24"/>
          <w:lang w:val="en-NZ"/>
        </w:rPr>
        <w:t>Information may be</w:t>
      </w:r>
      <w:r w:rsidR="00542CB9" w:rsidRPr="00022AF1">
        <w:rPr>
          <w:rFonts w:cs="Arial"/>
          <w:szCs w:val="24"/>
          <w:lang w:val="en-NZ"/>
        </w:rPr>
        <w:t xml:space="preserve"> processed </w:t>
      </w:r>
      <w:r w:rsidR="00542CB9">
        <w:rPr>
          <w:rFonts w:cs="Arial"/>
          <w:szCs w:val="24"/>
          <w:lang w:val="en-NZ"/>
        </w:rPr>
        <w:t xml:space="preserve">and interpreted </w:t>
      </w:r>
      <w:r w:rsidR="00542CB9" w:rsidRPr="00022AF1">
        <w:rPr>
          <w:rFonts w:cs="Arial"/>
          <w:szCs w:val="24"/>
          <w:lang w:val="en-NZ"/>
        </w:rPr>
        <w:t>in small groups but the teacher needs to ensure that there is evidence that each student has met all aspects of the standard.</w:t>
      </w:r>
    </w:p>
    <w:p w14:paraId="68EBABBA" w14:textId="77777777" w:rsidR="00542CB9" w:rsidRPr="00416DEC" w:rsidRDefault="00542CB9" w:rsidP="00542CB9">
      <w:pPr>
        <w:keepLines/>
        <w:rPr>
          <w:rFonts w:cs="Arial"/>
          <w:szCs w:val="24"/>
          <w:lang w:val="en-NZ"/>
        </w:rPr>
      </w:pPr>
    </w:p>
    <w:p w14:paraId="3427E7C5" w14:textId="77777777" w:rsidR="00C21850" w:rsidRDefault="00B46D3D" w:rsidP="00C21850">
      <w:pPr>
        <w:rPr>
          <w:rFonts w:cs="Arial"/>
          <w:szCs w:val="24"/>
        </w:rPr>
      </w:pPr>
      <w:r>
        <w:rPr>
          <w:rFonts w:cs="Arial"/>
          <w:szCs w:val="24"/>
        </w:rPr>
        <w:t>Research is not the intent of this standard.</w:t>
      </w:r>
    </w:p>
    <w:p w14:paraId="79F34B4D" w14:textId="77777777" w:rsidR="00C21850" w:rsidRDefault="00C21850" w:rsidP="00C21850">
      <w:pPr>
        <w:rPr>
          <w:rFonts w:cs="Arial"/>
          <w:szCs w:val="24"/>
        </w:rPr>
      </w:pPr>
    </w:p>
    <w:p w14:paraId="059CC7E8" w14:textId="77777777" w:rsidR="00C21850" w:rsidRPr="00A12FD1" w:rsidRDefault="00C21850" w:rsidP="00A237B1">
      <w:pPr>
        <w:rPr>
          <w:rFonts w:cs="Arial"/>
          <w:szCs w:val="24"/>
        </w:rPr>
      </w:pPr>
      <w:r w:rsidRPr="00A12FD1">
        <w:rPr>
          <w:rFonts w:cs="Arial"/>
          <w:szCs w:val="24"/>
        </w:rPr>
        <w:t xml:space="preserve">The assessor </w:t>
      </w:r>
      <w:r w:rsidR="00B37D62">
        <w:rPr>
          <w:rFonts w:cs="Arial"/>
          <w:szCs w:val="24"/>
        </w:rPr>
        <w:t>will</w:t>
      </w:r>
      <w:r w:rsidRPr="00A12FD1">
        <w:rPr>
          <w:rFonts w:cs="Arial"/>
          <w:szCs w:val="24"/>
        </w:rPr>
        <w:t xml:space="preserve"> determine the time taken </w:t>
      </w:r>
      <w:r w:rsidR="00CE7F64">
        <w:rPr>
          <w:rFonts w:cs="Arial"/>
          <w:szCs w:val="24"/>
        </w:rPr>
        <w:t>for</w:t>
      </w:r>
      <w:r w:rsidRPr="00A12FD1">
        <w:rPr>
          <w:rFonts w:cs="Arial"/>
          <w:szCs w:val="24"/>
        </w:rPr>
        <w:t xml:space="preserve"> the assessment as this is dependent on the situation</w:t>
      </w:r>
      <w:r w:rsidR="00A237B1">
        <w:rPr>
          <w:rFonts w:cs="Arial"/>
          <w:szCs w:val="24"/>
        </w:rPr>
        <w:t>.</w:t>
      </w:r>
    </w:p>
    <w:p w14:paraId="6AADB75E" w14:textId="77777777" w:rsidR="003F253E" w:rsidRPr="00196D83" w:rsidRDefault="003F253E" w:rsidP="00FC0CCB">
      <w:pPr>
        <w:tabs>
          <w:tab w:val="left" w:pos="1665"/>
        </w:tabs>
        <w:rPr>
          <w:rFonts w:cs="Arial"/>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F13E4F" w14:paraId="544FFA91" w14:textId="77777777" w:rsidTr="00F13E4F">
        <w:tc>
          <w:tcPr>
            <w:tcW w:w="4077" w:type="dxa"/>
            <w:vAlign w:val="center"/>
          </w:tcPr>
          <w:p w14:paraId="256071CF" w14:textId="77777777" w:rsidR="00FC0CCB" w:rsidRPr="00F13E4F" w:rsidRDefault="00FC0CCB" w:rsidP="00320F38">
            <w:pPr>
              <w:keepNext/>
              <w:tabs>
                <w:tab w:val="left" w:pos="1665"/>
              </w:tabs>
              <w:spacing w:before="80" w:after="80"/>
              <w:rPr>
                <w:rFonts w:cs="Arial"/>
                <w:b/>
                <w:szCs w:val="24"/>
              </w:rPr>
            </w:pPr>
            <w:r w:rsidRPr="00F13E4F">
              <w:rPr>
                <w:rFonts w:cs="Arial"/>
                <w:b/>
                <w:szCs w:val="24"/>
              </w:rPr>
              <w:t>Achievement Standard Number</w:t>
            </w:r>
          </w:p>
        </w:tc>
        <w:tc>
          <w:tcPr>
            <w:tcW w:w="5776" w:type="dxa"/>
            <w:vAlign w:val="center"/>
          </w:tcPr>
          <w:p w14:paraId="7FFAD1CF" w14:textId="77777777" w:rsidR="00FC0CCB" w:rsidRPr="00F13E4F" w:rsidRDefault="00677270" w:rsidP="00320F38">
            <w:pPr>
              <w:keepNext/>
              <w:tabs>
                <w:tab w:val="left" w:pos="1665"/>
              </w:tabs>
              <w:spacing w:before="80" w:after="80"/>
              <w:rPr>
                <w:rFonts w:cs="Arial"/>
                <w:b/>
                <w:szCs w:val="24"/>
              </w:rPr>
            </w:pPr>
            <w:r w:rsidRPr="00677270">
              <w:rPr>
                <w:rFonts w:cs="Arial"/>
                <w:b/>
                <w:szCs w:val="24"/>
              </w:rPr>
              <w:t xml:space="preserve">91167 Chemistry </w:t>
            </w:r>
            <w:r w:rsidR="008B5B9E" w:rsidRPr="00F13E4F">
              <w:rPr>
                <w:rFonts w:cs="Arial"/>
                <w:b/>
                <w:szCs w:val="24"/>
              </w:rPr>
              <w:t>2.</w:t>
            </w:r>
            <w:r w:rsidR="00CF6E10" w:rsidRPr="00F13E4F">
              <w:rPr>
                <w:rFonts w:cs="Arial"/>
                <w:b/>
                <w:szCs w:val="24"/>
              </w:rPr>
              <w:t>7</w:t>
            </w:r>
          </w:p>
        </w:tc>
      </w:tr>
      <w:tr w:rsidR="008B5B9E" w:rsidRPr="00F13E4F" w14:paraId="778095B6" w14:textId="77777777" w:rsidTr="00F13E4F">
        <w:tc>
          <w:tcPr>
            <w:tcW w:w="4077" w:type="dxa"/>
            <w:vAlign w:val="center"/>
          </w:tcPr>
          <w:p w14:paraId="1B4C7CFF" w14:textId="77777777" w:rsidR="008B5B9E" w:rsidRPr="00F13E4F" w:rsidRDefault="008B5B9E" w:rsidP="00320F38">
            <w:pPr>
              <w:keepNext/>
              <w:tabs>
                <w:tab w:val="left" w:pos="1665"/>
              </w:tabs>
              <w:spacing w:before="80" w:after="80"/>
              <w:rPr>
                <w:rFonts w:cs="Arial"/>
                <w:b/>
                <w:szCs w:val="24"/>
              </w:rPr>
            </w:pPr>
            <w:r w:rsidRPr="00F13E4F">
              <w:rPr>
                <w:rFonts w:cs="Arial"/>
                <w:b/>
                <w:szCs w:val="24"/>
              </w:rPr>
              <w:t>Title</w:t>
            </w:r>
          </w:p>
        </w:tc>
        <w:tc>
          <w:tcPr>
            <w:tcW w:w="5776" w:type="dxa"/>
          </w:tcPr>
          <w:p w14:paraId="606400D3" w14:textId="77777777" w:rsidR="008B5B9E" w:rsidRPr="00F13E4F" w:rsidRDefault="00CF6E10" w:rsidP="00320F38">
            <w:pPr>
              <w:keepNext/>
              <w:tabs>
                <w:tab w:val="left" w:pos="1665"/>
              </w:tabs>
              <w:spacing w:before="80" w:after="80"/>
              <w:rPr>
                <w:rFonts w:cs="Arial"/>
                <w:szCs w:val="24"/>
              </w:rPr>
            </w:pPr>
            <w:r w:rsidRPr="00F13E4F">
              <w:rPr>
                <w:rFonts w:cs="Arial"/>
                <w:szCs w:val="24"/>
              </w:rPr>
              <w:t>Demonstrate understanding of oxidation-reduction</w:t>
            </w:r>
          </w:p>
        </w:tc>
      </w:tr>
      <w:tr w:rsidR="00FC0CCB" w:rsidRPr="00F13E4F" w14:paraId="47EE3524" w14:textId="77777777" w:rsidTr="00F13E4F">
        <w:tc>
          <w:tcPr>
            <w:tcW w:w="4077" w:type="dxa"/>
            <w:vAlign w:val="center"/>
          </w:tcPr>
          <w:p w14:paraId="1AFC5903" w14:textId="77777777" w:rsidR="00FC0CCB" w:rsidRPr="00F13E4F" w:rsidRDefault="00FC0CCB" w:rsidP="00320F38">
            <w:pPr>
              <w:keepNext/>
              <w:tabs>
                <w:tab w:val="left" w:pos="1665"/>
              </w:tabs>
              <w:spacing w:before="80" w:after="80"/>
              <w:rPr>
                <w:rFonts w:cs="Arial"/>
                <w:b/>
                <w:szCs w:val="24"/>
              </w:rPr>
            </w:pPr>
            <w:r w:rsidRPr="00F13E4F">
              <w:rPr>
                <w:rFonts w:cs="Arial"/>
                <w:b/>
                <w:szCs w:val="24"/>
              </w:rPr>
              <w:t>Number of Credits</w:t>
            </w:r>
          </w:p>
        </w:tc>
        <w:tc>
          <w:tcPr>
            <w:tcW w:w="5776" w:type="dxa"/>
            <w:vAlign w:val="center"/>
          </w:tcPr>
          <w:p w14:paraId="5DEF7F29" w14:textId="77777777" w:rsidR="00FC0CCB" w:rsidRPr="00F13E4F" w:rsidRDefault="00CF6E10" w:rsidP="00320F38">
            <w:pPr>
              <w:keepNext/>
              <w:tabs>
                <w:tab w:val="left" w:pos="1665"/>
              </w:tabs>
              <w:spacing w:before="80" w:after="80"/>
              <w:rPr>
                <w:rFonts w:cs="Arial"/>
                <w:szCs w:val="24"/>
              </w:rPr>
            </w:pPr>
            <w:r w:rsidRPr="00F13E4F">
              <w:rPr>
                <w:rFonts w:cs="Arial"/>
                <w:szCs w:val="24"/>
              </w:rPr>
              <w:t>3</w:t>
            </w:r>
          </w:p>
        </w:tc>
      </w:tr>
      <w:tr w:rsidR="00FC0CCB" w:rsidRPr="00F13E4F" w14:paraId="3C57E8CA" w14:textId="77777777" w:rsidTr="00F13E4F">
        <w:tc>
          <w:tcPr>
            <w:tcW w:w="4077" w:type="dxa"/>
            <w:vAlign w:val="center"/>
          </w:tcPr>
          <w:p w14:paraId="1879797A" w14:textId="77777777" w:rsidR="00FC0CCB" w:rsidRPr="00F13E4F" w:rsidRDefault="00FC0CCB" w:rsidP="00F13E4F">
            <w:pPr>
              <w:tabs>
                <w:tab w:val="left" w:pos="1665"/>
              </w:tabs>
              <w:spacing w:before="80" w:after="80"/>
              <w:rPr>
                <w:rFonts w:cs="Arial"/>
                <w:b/>
                <w:szCs w:val="24"/>
              </w:rPr>
            </w:pPr>
            <w:r w:rsidRPr="00F13E4F">
              <w:rPr>
                <w:rFonts w:cs="Arial"/>
                <w:b/>
                <w:szCs w:val="24"/>
              </w:rPr>
              <w:t>Version</w:t>
            </w:r>
          </w:p>
        </w:tc>
        <w:tc>
          <w:tcPr>
            <w:tcW w:w="5776" w:type="dxa"/>
            <w:vAlign w:val="center"/>
          </w:tcPr>
          <w:p w14:paraId="0735F72B" w14:textId="77777777" w:rsidR="00FC0CCB" w:rsidRPr="00F13E4F" w:rsidRDefault="004B4C4E" w:rsidP="00F13E4F">
            <w:pPr>
              <w:tabs>
                <w:tab w:val="left" w:pos="1665"/>
              </w:tabs>
              <w:spacing w:before="80" w:after="80"/>
              <w:rPr>
                <w:rFonts w:cs="Arial"/>
                <w:szCs w:val="24"/>
              </w:rPr>
            </w:pPr>
            <w:r>
              <w:rPr>
                <w:rFonts w:cs="Arial"/>
                <w:szCs w:val="24"/>
              </w:rPr>
              <w:t>2</w:t>
            </w:r>
          </w:p>
        </w:tc>
      </w:tr>
    </w:tbl>
    <w:p w14:paraId="138A61C1" w14:textId="77777777" w:rsidR="00FC0CCB" w:rsidRDefault="00FC0CCB" w:rsidP="00FC0CCB">
      <w:pPr>
        <w:tabs>
          <w:tab w:val="left" w:pos="1665"/>
        </w:tabs>
        <w:rPr>
          <w:rFonts w:cs="Arial"/>
          <w:szCs w:val="24"/>
        </w:rPr>
      </w:pPr>
    </w:p>
    <w:p w14:paraId="3ED4F0D2" w14:textId="77777777" w:rsidR="00542CB9" w:rsidRPr="00416DEC" w:rsidRDefault="008D7263" w:rsidP="00542CB9">
      <w:pPr>
        <w:keepLines/>
        <w:rPr>
          <w:rFonts w:cs="Arial"/>
          <w:szCs w:val="24"/>
          <w:lang w:val="en-NZ"/>
        </w:rPr>
      </w:pPr>
      <w:r w:rsidRPr="00320F38">
        <w:rPr>
          <w:rFonts w:cs="Arial"/>
          <w:szCs w:val="24"/>
        </w:rPr>
        <w:lastRenderedPageBreak/>
        <w:t xml:space="preserve">Assessment of this standard may involve practical </w:t>
      </w:r>
      <w:r w:rsidR="008A1DB7" w:rsidRPr="00320F38">
        <w:rPr>
          <w:rFonts w:cs="Arial"/>
          <w:szCs w:val="24"/>
        </w:rPr>
        <w:t xml:space="preserve">work. </w:t>
      </w:r>
      <w:r w:rsidR="00542CB9">
        <w:rPr>
          <w:rFonts w:cs="Arial"/>
          <w:szCs w:val="24"/>
          <w:lang w:val="en-NZ"/>
        </w:rPr>
        <w:t>Information</w:t>
      </w:r>
      <w:r w:rsidR="00542CB9" w:rsidRPr="00022AF1">
        <w:rPr>
          <w:rFonts w:cs="Arial"/>
          <w:szCs w:val="24"/>
          <w:lang w:val="en-NZ"/>
        </w:rPr>
        <w:t xml:space="preserve"> may be collected and processed in small groups but the teacher needs to ensure that there is evidence that each student has met all aspects of the standard.</w:t>
      </w:r>
    </w:p>
    <w:p w14:paraId="0A277B9D" w14:textId="77777777" w:rsidR="005D6666" w:rsidRDefault="005D6666" w:rsidP="008D7263">
      <w:pPr>
        <w:rPr>
          <w:rFonts w:cs="Arial"/>
          <w:szCs w:val="24"/>
        </w:rPr>
      </w:pPr>
    </w:p>
    <w:p w14:paraId="27BDE8EA" w14:textId="77777777" w:rsidR="005D6666" w:rsidRDefault="005D6666" w:rsidP="008D7263">
      <w:pPr>
        <w:rPr>
          <w:rFonts w:cs="Arial"/>
          <w:szCs w:val="24"/>
        </w:rPr>
      </w:pPr>
      <w:r>
        <w:rPr>
          <w:rFonts w:cs="Arial"/>
          <w:szCs w:val="24"/>
        </w:rPr>
        <w:t>Information about colours, states and formulae may be supplied.  If information in the form of unbalanced half equations is supplied then corresponding oxidation and reduction half equations should not be paired and labelled.</w:t>
      </w:r>
    </w:p>
    <w:p w14:paraId="3B9D194C" w14:textId="77777777" w:rsidR="008D7263" w:rsidRDefault="008D7263" w:rsidP="008D7263">
      <w:pPr>
        <w:rPr>
          <w:rFonts w:cs="Arial"/>
          <w:szCs w:val="24"/>
        </w:rPr>
      </w:pPr>
    </w:p>
    <w:p w14:paraId="14E04C9B" w14:textId="77777777" w:rsidR="00CF6E10" w:rsidRDefault="008D7263" w:rsidP="00037FE1">
      <w:r w:rsidRPr="00A12FD1">
        <w:t xml:space="preserve">The assessor </w:t>
      </w:r>
      <w:r>
        <w:t>will</w:t>
      </w:r>
      <w:r w:rsidRPr="00A12FD1">
        <w:t xml:space="preserve"> determine the time taken by the assessment as this is dependent on the situation</w:t>
      </w:r>
      <w:r>
        <w:t>; howe</w:t>
      </w:r>
      <w:r w:rsidR="00946FD2">
        <w:t>ver it is anticipated that assessment</w:t>
      </w:r>
      <w:r>
        <w:t xml:space="preserve"> will take 1-2 hours class time</w:t>
      </w:r>
      <w:r w:rsidRPr="00A12FD1">
        <w:t>.</w:t>
      </w:r>
    </w:p>
    <w:p w14:paraId="7BE7A189" w14:textId="77777777" w:rsidR="00037FE1" w:rsidRDefault="00037FE1" w:rsidP="00037FE1"/>
    <w:sectPr w:rsidR="00037FE1"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0C6E" w14:textId="77777777" w:rsidR="00740744" w:rsidRDefault="00740744">
      <w:r>
        <w:separator/>
      </w:r>
    </w:p>
  </w:endnote>
  <w:endnote w:type="continuationSeparator" w:id="0">
    <w:p w14:paraId="18936B61" w14:textId="77777777" w:rsidR="00740744" w:rsidRDefault="0074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E46C" w14:textId="77777777" w:rsidR="008B0A0E" w:rsidRDefault="008B0A0E"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EE030F" w14:textId="77777777" w:rsidR="008B0A0E" w:rsidRDefault="008B0A0E"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E19" w14:textId="77777777" w:rsidR="008B0A0E" w:rsidRDefault="008B0A0E"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85D">
      <w:rPr>
        <w:rStyle w:val="PageNumber"/>
        <w:noProof/>
      </w:rPr>
      <w:t>4</w:t>
    </w:r>
    <w:r>
      <w:rPr>
        <w:rStyle w:val="PageNumber"/>
      </w:rPr>
      <w:fldChar w:fldCharType="end"/>
    </w:r>
  </w:p>
  <w:p w14:paraId="0EE20F8F" w14:textId="77777777" w:rsidR="008B0A0E" w:rsidRDefault="00251A52" w:rsidP="00B142C7">
    <w:pPr>
      <w:pStyle w:val="Footer"/>
      <w:ind w:right="360"/>
    </w:pPr>
    <w:r>
      <w:t>January 20</w:t>
    </w:r>
    <w:r w:rsidR="00C15CC0">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0C67" w14:textId="77777777" w:rsidR="00797A62" w:rsidRDefault="00797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24AD" w14:textId="77777777" w:rsidR="00740744" w:rsidRDefault="00740744">
      <w:r>
        <w:separator/>
      </w:r>
    </w:p>
  </w:footnote>
  <w:footnote w:type="continuationSeparator" w:id="0">
    <w:p w14:paraId="779930CC" w14:textId="77777777" w:rsidR="00740744" w:rsidRDefault="00740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5F0E" w14:textId="77777777" w:rsidR="008B0A0E" w:rsidRDefault="00797A62">
    <w:pPr>
      <w:pStyle w:val="Header"/>
    </w:pPr>
    <w:r>
      <w:rPr>
        <w:noProof/>
      </w:rPr>
      <w:pict w14:anchorId="14E04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7B9F4F94">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FC93" w14:textId="77777777" w:rsidR="00797A62" w:rsidRDefault="00797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C3E6" w14:textId="77777777" w:rsidR="008B0A0E" w:rsidRDefault="00797A62">
    <w:pPr>
      <w:pStyle w:val="Header"/>
    </w:pPr>
    <w:r>
      <w:rPr>
        <w:noProof/>
      </w:rPr>
      <w:pict w14:anchorId="29BCD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4DDE7E1D">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7400E4F"/>
    <w:multiLevelType w:val="hybridMultilevel"/>
    <w:tmpl w:val="49128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39B5630"/>
    <w:multiLevelType w:val="hybridMultilevel"/>
    <w:tmpl w:val="BFE09514"/>
    <w:lvl w:ilvl="0" w:tplc="E9006BEE">
      <w:start w:val="1"/>
      <w:numFmt w:val="bullet"/>
      <w:lvlText w:val=""/>
      <w:lvlJc w:val="left"/>
      <w:pPr>
        <w:tabs>
          <w:tab w:val="num" w:pos="924"/>
        </w:tabs>
        <w:ind w:left="924" w:hanging="357"/>
      </w:pPr>
      <w:rPr>
        <w:rFonts w:ascii="Symbol" w:hAnsi="Symbol" w:hint="default"/>
      </w:rPr>
    </w:lvl>
    <w:lvl w:ilvl="1" w:tplc="A784E7D4">
      <w:start w:val="1"/>
      <w:numFmt w:val="bullet"/>
      <w:lvlText w:val=""/>
      <w:lvlJc w:val="left"/>
      <w:pPr>
        <w:tabs>
          <w:tab w:val="num" w:pos="2004"/>
        </w:tabs>
        <w:ind w:left="2004" w:hanging="357"/>
      </w:pPr>
      <w:rPr>
        <w:rFonts w:ascii="Symbol" w:hAnsi="Symbo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50AC4"/>
    <w:multiLevelType w:val="hybridMultilevel"/>
    <w:tmpl w:val="545252F2"/>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7823008">
    <w:abstractNumId w:val="0"/>
  </w:num>
  <w:num w:numId="2" w16cid:durableId="1866866019">
    <w:abstractNumId w:val="1"/>
  </w:num>
  <w:num w:numId="3" w16cid:durableId="258148574">
    <w:abstractNumId w:val="27"/>
  </w:num>
  <w:num w:numId="4" w16cid:durableId="1546864980">
    <w:abstractNumId w:val="15"/>
  </w:num>
  <w:num w:numId="5" w16cid:durableId="1881285960">
    <w:abstractNumId w:val="23"/>
  </w:num>
  <w:num w:numId="6" w16cid:durableId="1868368818">
    <w:abstractNumId w:val="11"/>
  </w:num>
  <w:num w:numId="7" w16cid:durableId="1598057702">
    <w:abstractNumId w:val="5"/>
  </w:num>
  <w:num w:numId="8" w16cid:durableId="2049061626">
    <w:abstractNumId w:val="29"/>
  </w:num>
  <w:num w:numId="9" w16cid:durableId="1356418037">
    <w:abstractNumId w:val="39"/>
  </w:num>
  <w:num w:numId="10" w16cid:durableId="1254582465">
    <w:abstractNumId w:val="34"/>
  </w:num>
  <w:num w:numId="11" w16cid:durableId="1930966308">
    <w:abstractNumId w:val="10"/>
  </w:num>
  <w:num w:numId="12" w16cid:durableId="1434859504">
    <w:abstractNumId w:val="21"/>
  </w:num>
  <w:num w:numId="13" w16cid:durableId="1140611689">
    <w:abstractNumId w:val="33"/>
  </w:num>
  <w:num w:numId="14" w16cid:durableId="722021789">
    <w:abstractNumId w:val="4"/>
  </w:num>
  <w:num w:numId="15" w16cid:durableId="324556621">
    <w:abstractNumId w:val="6"/>
  </w:num>
  <w:num w:numId="16" w16cid:durableId="1559706656">
    <w:abstractNumId w:val="12"/>
  </w:num>
  <w:num w:numId="17" w16cid:durableId="1167818210">
    <w:abstractNumId w:val="17"/>
  </w:num>
  <w:num w:numId="18" w16cid:durableId="227159058">
    <w:abstractNumId w:val="18"/>
  </w:num>
  <w:num w:numId="19" w16cid:durableId="1619802202">
    <w:abstractNumId w:val="38"/>
  </w:num>
  <w:num w:numId="20" w16cid:durableId="96759413">
    <w:abstractNumId w:val="2"/>
  </w:num>
  <w:num w:numId="21" w16cid:durableId="1051922863">
    <w:abstractNumId w:val="26"/>
  </w:num>
  <w:num w:numId="22" w16cid:durableId="617372791">
    <w:abstractNumId w:val="40"/>
  </w:num>
  <w:num w:numId="23" w16cid:durableId="139198608">
    <w:abstractNumId w:val="37"/>
  </w:num>
  <w:num w:numId="24" w16cid:durableId="992366419">
    <w:abstractNumId w:val="16"/>
  </w:num>
  <w:num w:numId="25" w16cid:durableId="2030721166">
    <w:abstractNumId w:val="30"/>
  </w:num>
  <w:num w:numId="26" w16cid:durableId="108593404">
    <w:abstractNumId w:val="3"/>
  </w:num>
  <w:num w:numId="27" w16cid:durableId="86120875">
    <w:abstractNumId w:val="25"/>
  </w:num>
  <w:num w:numId="28" w16cid:durableId="1964267242">
    <w:abstractNumId w:val="35"/>
  </w:num>
  <w:num w:numId="29" w16cid:durableId="185680872">
    <w:abstractNumId w:val="28"/>
  </w:num>
  <w:num w:numId="30" w16cid:durableId="1791243883">
    <w:abstractNumId w:val="8"/>
  </w:num>
  <w:num w:numId="31" w16cid:durableId="1402556701">
    <w:abstractNumId w:val="31"/>
  </w:num>
  <w:num w:numId="32" w16cid:durableId="102120734">
    <w:abstractNumId w:val="9"/>
  </w:num>
  <w:num w:numId="33" w16cid:durableId="1769810968">
    <w:abstractNumId w:val="32"/>
  </w:num>
  <w:num w:numId="34" w16cid:durableId="1609041413">
    <w:abstractNumId w:val="24"/>
  </w:num>
  <w:num w:numId="35" w16cid:durableId="674528435">
    <w:abstractNumId w:val="13"/>
  </w:num>
  <w:num w:numId="36" w16cid:durableId="553467629">
    <w:abstractNumId w:val="22"/>
  </w:num>
  <w:num w:numId="37" w16cid:durableId="980771863">
    <w:abstractNumId w:val="14"/>
  </w:num>
  <w:num w:numId="38" w16cid:durableId="187959651">
    <w:abstractNumId w:val="7"/>
  </w:num>
  <w:num w:numId="39" w16cid:durableId="1194688434">
    <w:abstractNumId w:val="19"/>
  </w:num>
  <w:num w:numId="40" w16cid:durableId="328408058">
    <w:abstractNumId w:val="20"/>
  </w:num>
  <w:num w:numId="41" w16cid:durableId="1174524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25A51"/>
    <w:rsid w:val="000342B4"/>
    <w:rsid w:val="00037FE1"/>
    <w:rsid w:val="00041A0F"/>
    <w:rsid w:val="0006072A"/>
    <w:rsid w:val="00065595"/>
    <w:rsid w:val="000769DE"/>
    <w:rsid w:val="00091670"/>
    <w:rsid w:val="000947D7"/>
    <w:rsid w:val="00094834"/>
    <w:rsid w:val="000A1CB9"/>
    <w:rsid w:val="000A1FA7"/>
    <w:rsid w:val="000B5716"/>
    <w:rsid w:val="000B6FF3"/>
    <w:rsid w:val="000D1BBA"/>
    <w:rsid w:val="000F4C39"/>
    <w:rsid w:val="000F61D5"/>
    <w:rsid w:val="00123B89"/>
    <w:rsid w:val="001256A8"/>
    <w:rsid w:val="001265D6"/>
    <w:rsid w:val="00144100"/>
    <w:rsid w:val="00161B43"/>
    <w:rsid w:val="00177C53"/>
    <w:rsid w:val="00185413"/>
    <w:rsid w:val="001959DE"/>
    <w:rsid w:val="00196D83"/>
    <w:rsid w:val="001A5440"/>
    <w:rsid w:val="001A55D8"/>
    <w:rsid w:val="001C02A4"/>
    <w:rsid w:val="001C1D1D"/>
    <w:rsid w:val="001C2E8B"/>
    <w:rsid w:val="001E4C85"/>
    <w:rsid w:val="00213E71"/>
    <w:rsid w:val="00216429"/>
    <w:rsid w:val="002201F9"/>
    <w:rsid w:val="002320F2"/>
    <w:rsid w:val="00237910"/>
    <w:rsid w:val="00244533"/>
    <w:rsid w:val="00251A52"/>
    <w:rsid w:val="002563CA"/>
    <w:rsid w:val="002565E0"/>
    <w:rsid w:val="00256CB8"/>
    <w:rsid w:val="00257D53"/>
    <w:rsid w:val="00265D5E"/>
    <w:rsid w:val="0026622D"/>
    <w:rsid w:val="0027002D"/>
    <w:rsid w:val="00274F9A"/>
    <w:rsid w:val="002C52A7"/>
    <w:rsid w:val="002D37DC"/>
    <w:rsid w:val="002D681E"/>
    <w:rsid w:val="002D72DA"/>
    <w:rsid w:val="002F7345"/>
    <w:rsid w:val="00314E50"/>
    <w:rsid w:val="00316E1B"/>
    <w:rsid w:val="00320F38"/>
    <w:rsid w:val="00361F0F"/>
    <w:rsid w:val="00367C76"/>
    <w:rsid w:val="00367DAF"/>
    <w:rsid w:val="00387507"/>
    <w:rsid w:val="003B13AB"/>
    <w:rsid w:val="003B7054"/>
    <w:rsid w:val="003D0D7E"/>
    <w:rsid w:val="003D3474"/>
    <w:rsid w:val="003D5127"/>
    <w:rsid w:val="003E785D"/>
    <w:rsid w:val="003F253E"/>
    <w:rsid w:val="003F2805"/>
    <w:rsid w:val="003F3D27"/>
    <w:rsid w:val="00400578"/>
    <w:rsid w:val="004040DD"/>
    <w:rsid w:val="00412A90"/>
    <w:rsid w:val="00414097"/>
    <w:rsid w:val="004260C6"/>
    <w:rsid w:val="00436454"/>
    <w:rsid w:val="00442C80"/>
    <w:rsid w:val="0044382F"/>
    <w:rsid w:val="00443CB7"/>
    <w:rsid w:val="00451765"/>
    <w:rsid w:val="004700AF"/>
    <w:rsid w:val="00475B29"/>
    <w:rsid w:val="00482043"/>
    <w:rsid w:val="00485306"/>
    <w:rsid w:val="0048552A"/>
    <w:rsid w:val="004A03D2"/>
    <w:rsid w:val="004A37E6"/>
    <w:rsid w:val="004B0EA2"/>
    <w:rsid w:val="004B3CF6"/>
    <w:rsid w:val="004B4C4E"/>
    <w:rsid w:val="004C7BFB"/>
    <w:rsid w:val="004C7F06"/>
    <w:rsid w:val="004E1961"/>
    <w:rsid w:val="004E63EE"/>
    <w:rsid w:val="00502120"/>
    <w:rsid w:val="00525206"/>
    <w:rsid w:val="00532833"/>
    <w:rsid w:val="00542CB9"/>
    <w:rsid w:val="00544FCE"/>
    <w:rsid w:val="00551149"/>
    <w:rsid w:val="005552F5"/>
    <w:rsid w:val="00557512"/>
    <w:rsid w:val="00573EE7"/>
    <w:rsid w:val="00577325"/>
    <w:rsid w:val="00580E30"/>
    <w:rsid w:val="005A0C9D"/>
    <w:rsid w:val="005B1BDE"/>
    <w:rsid w:val="005D4352"/>
    <w:rsid w:val="005D6666"/>
    <w:rsid w:val="005E0608"/>
    <w:rsid w:val="005E4E73"/>
    <w:rsid w:val="005F5315"/>
    <w:rsid w:val="0060315C"/>
    <w:rsid w:val="006311DC"/>
    <w:rsid w:val="00632890"/>
    <w:rsid w:val="00643889"/>
    <w:rsid w:val="006521AE"/>
    <w:rsid w:val="006524DC"/>
    <w:rsid w:val="0067504B"/>
    <w:rsid w:val="00677270"/>
    <w:rsid w:val="00677E56"/>
    <w:rsid w:val="00684681"/>
    <w:rsid w:val="00690531"/>
    <w:rsid w:val="006952BA"/>
    <w:rsid w:val="0069754B"/>
    <w:rsid w:val="006A48BB"/>
    <w:rsid w:val="006B33C9"/>
    <w:rsid w:val="006B6BF6"/>
    <w:rsid w:val="006C3C53"/>
    <w:rsid w:val="006C46C8"/>
    <w:rsid w:val="006D0F65"/>
    <w:rsid w:val="006D22BB"/>
    <w:rsid w:val="006D4679"/>
    <w:rsid w:val="006F52D0"/>
    <w:rsid w:val="00703928"/>
    <w:rsid w:val="00705DAF"/>
    <w:rsid w:val="007239E9"/>
    <w:rsid w:val="0073063F"/>
    <w:rsid w:val="00734884"/>
    <w:rsid w:val="00740744"/>
    <w:rsid w:val="00745034"/>
    <w:rsid w:val="007606B9"/>
    <w:rsid w:val="0076744E"/>
    <w:rsid w:val="00780465"/>
    <w:rsid w:val="00781CC7"/>
    <w:rsid w:val="00782778"/>
    <w:rsid w:val="007954F9"/>
    <w:rsid w:val="00797A62"/>
    <w:rsid w:val="007B6914"/>
    <w:rsid w:val="007D1A30"/>
    <w:rsid w:val="007D7A9A"/>
    <w:rsid w:val="007E36BB"/>
    <w:rsid w:val="007E40B8"/>
    <w:rsid w:val="007F4676"/>
    <w:rsid w:val="00801BC1"/>
    <w:rsid w:val="008110E0"/>
    <w:rsid w:val="00815842"/>
    <w:rsid w:val="00830581"/>
    <w:rsid w:val="00857E92"/>
    <w:rsid w:val="008710FD"/>
    <w:rsid w:val="00871B40"/>
    <w:rsid w:val="00891BC4"/>
    <w:rsid w:val="008942AF"/>
    <w:rsid w:val="008A0F87"/>
    <w:rsid w:val="008A1DB7"/>
    <w:rsid w:val="008B0A0E"/>
    <w:rsid w:val="008B1C23"/>
    <w:rsid w:val="008B5B9E"/>
    <w:rsid w:val="008D084C"/>
    <w:rsid w:val="008D7263"/>
    <w:rsid w:val="008E2E07"/>
    <w:rsid w:val="00905434"/>
    <w:rsid w:val="00926F98"/>
    <w:rsid w:val="00927E86"/>
    <w:rsid w:val="009467F6"/>
    <w:rsid w:val="00946FD2"/>
    <w:rsid w:val="00971975"/>
    <w:rsid w:val="00974002"/>
    <w:rsid w:val="009B1A03"/>
    <w:rsid w:val="009C17D0"/>
    <w:rsid w:val="009D6FE2"/>
    <w:rsid w:val="009D7B11"/>
    <w:rsid w:val="009E34B3"/>
    <w:rsid w:val="00A027D3"/>
    <w:rsid w:val="00A237B1"/>
    <w:rsid w:val="00A27CC8"/>
    <w:rsid w:val="00A63954"/>
    <w:rsid w:val="00A95FE5"/>
    <w:rsid w:val="00A9607B"/>
    <w:rsid w:val="00AA09C0"/>
    <w:rsid w:val="00AA220E"/>
    <w:rsid w:val="00AA264A"/>
    <w:rsid w:val="00AA26F4"/>
    <w:rsid w:val="00AB07F7"/>
    <w:rsid w:val="00AB3EBC"/>
    <w:rsid w:val="00AC3EF1"/>
    <w:rsid w:val="00AC722F"/>
    <w:rsid w:val="00AD1DC3"/>
    <w:rsid w:val="00AD4A88"/>
    <w:rsid w:val="00AD7E9F"/>
    <w:rsid w:val="00AF6EA5"/>
    <w:rsid w:val="00B119B4"/>
    <w:rsid w:val="00B142C7"/>
    <w:rsid w:val="00B37D62"/>
    <w:rsid w:val="00B44C86"/>
    <w:rsid w:val="00B46B2B"/>
    <w:rsid w:val="00B46D3D"/>
    <w:rsid w:val="00B516B6"/>
    <w:rsid w:val="00B529B5"/>
    <w:rsid w:val="00B6242B"/>
    <w:rsid w:val="00B71DB4"/>
    <w:rsid w:val="00B73F3C"/>
    <w:rsid w:val="00B75BF6"/>
    <w:rsid w:val="00B91C43"/>
    <w:rsid w:val="00BA461F"/>
    <w:rsid w:val="00BC05E6"/>
    <w:rsid w:val="00BC79E9"/>
    <w:rsid w:val="00BD487F"/>
    <w:rsid w:val="00BE2D39"/>
    <w:rsid w:val="00BE5B66"/>
    <w:rsid w:val="00C06357"/>
    <w:rsid w:val="00C15CC0"/>
    <w:rsid w:val="00C21850"/>
    <w:rsid w:val="00C67559"/>
    <w:rsid w:val="00C715BE"/>
    <w:rsid w:val="00C71A93"/>
    <w:rsid w:val="00C92D64"/>
    <w:rsid w:val="00CB594F"/>
    <w:rsid w:val="00CE192B"/>
    <w:rsid w:val="00CE3A9C"/>
    <w:rsid w:val="00CE7F64"/>
    <w:rsid w:val="00CF42EE"/>
    <w:rsid w:val="00CF6E10"/>
    <w:rsid w:val="00D04137"/>
    <w:rsid w:val="00D156C2"/>
    <w:rsid w:val="00D2341D"/>
    <w:rsid w:val="00D27A4F"/>
    <w:rsid w:val="00D32A25"/>
    <w:rsid w:val="00D539A7"/>
    <w:rsid w:val="00D6484B"/>
    <w:rsid w:val="00D71753"/>
    <w:rsid w:val="00D71FD4"/>
    <w:rsid w:val="00D7665B"/>
    <w:rsid w:val="00D81A2A"/>
    <w:rsid w:val="00D93D38"/>
    <w:rsid w:val="00D95A5A"/>
    <w:rsid w:val="00D9779A"/>
    <w:rsid w:val="00DB127B"/>
    <w:rsid w:val="00DC7C8A"/>
    <w:rsid w:val="00DD6FE9"/>
    <w:rsid w:val="00DE633A"/>
    <w:rsid w:val="00E145A3"/>
    <w:rsid w:val="00E14EAA"/>
    <w:rsid w:val="00E20114"/>
    <w:rsid w:val="00E2064D"/>
    <w:rsid w:val="00E31D8A"/>
    <w:rsid w:val="00E47DC1"/>
    <w:rsid w:val="00E7711C"/>
    <w:rsid w:val="00E80D53"/>
    <w:rsid w:val="00E83418"/>
    <w:rsid w:val="00E86963"/>
    <w:rsid w:val="00E92700"/>
    <w:rsid w:val="00EC3E49"/>
    <w:rsid w:val="00ED66C4"/>
    <w:rsid w:val="00F00015"/>
    <w:rsid w:val="00F02EE6"/>
    <w:rsid w:val="00F0397F"/>
    <w:rsid w:val="00F13E4F"/>
    <w:rsid w:val="00F15C95"/>
    <w:rsid w:val="00F1698D"/>
    <w:rsid w:val="00F3562E"/>
    <w:rsid w:val="00F36464"/>
    <w:rsid w:val="00F412A6"/>
    <w:rsid w:val="00F60882"/>
    <w:rsid w:val="00F61CA1"/>
    <w:rsid w:val="00F61ECC"/>
    <w:rsid w:val="00F76837"/>
    <w:rsid w:val="00F768AD"/>
    <w:rsid w:val="00F81F0F"/>
    <w:rsid w:val="00F822D0"/>
    <w:rsid w:val="00F82A07"/>
    <w:rsid w:val="00F86145"/>
    <w:rsid w:val="00F9437B"/>
    <w:rsid w:val="00FB775F"/>
    <w:rsid w:val="00FC0CCB"/>
    <w:rsid w:val="00FC32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82E0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FE1"/>
    <w:pPr>
      <w:suppressAutoHyphens/>
    </w:pPr>
    <w:rPr>
      <w:rFonts w:ascii="Arial" w:hAnsi="Arial"/>
      <w:sz w:val="24"/>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b/>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paragraph" w:styleId="Heading6">
    <w:name w:val="heading 6"/>
    <w:basedOn w:val="Normal"/>
    <w:next w:val="Normal"/>
    <w:link w:val="Heading6Char"/>
    <w:qFormat/>
    <w:rsid w:val="00037FE1"/>
    <w:pPr>
      <w:keepNext/>
      <w:outlineLvl w:val="5"/>
    </w:pPr>
    <w:rPr>
      <w:i/>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rPr>
      <w:rFonts w:ascii="Times New Roman" w:hAnsi="Times New Roman"/>
      <w:sz w:val="20"/>
    </w:rP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2778"/>
    <w:rPr>
      <w:b/>
      <w:bCs/>
    </w:rPr>
  </w:style>
  <w:style w:type="character" w:customStyle="1" w:styleId="CommentTextChar">
    <w:name w:val="Comment Text Char"/>
    <w:link w:val="CommentText"/>
    <w:rsid w:val="00782778"/>
    <w:rPr>
      <w:lang w:val="en-GB" w:eastAsia="ar-SA"/>
    </w:rPr>
  </w:style>
  <w:style w:type="character" w:customStyle="1" w:styleId="CommentSubjectChar">
    <w:name w:val="Comment Subject Char"/>
    <w:basedOn w:val="CommentTextChar"/>
    <w:link w:val="CommentSubject"/>
    <w:rsid w:val="00782778"/>
    <w:rPr>
      <w:lang w:val="en-GB" w:eastAsia="ar-SA"/>
    </w:rPr>
  </w:style>
  <w:style w:type="character" w:customStyle="1" w:styleId="Heading6Char">
    <w:name w:val="Heading 6 Char"/>
    <w:link w:val="Heading6"/>
    <w:rsid w:val="00037FE1"/>
    <w:rPr>
      <w:rFonts w:ascii="Arial" w:hAnsi="Arial" w:cs="Arial"/>
      <w:i/>
      <w:color w:val="7030A0"/>
      <w:sz w:val="24"/>
      <w:szCs w:val="24"/>
      <w:lang w:val="en-GB" w:eastAsia="ar-SA"/>
    </w:rPr>
  </w:style>
  <w:style w:type="paragraph" w:styleId="ListParagraph">
    <w:name w:val="List Paragraph"/>
    <w:basedOn w:val="Normal"/>
    <w:uiPriority w:val="34"/>
    <w:qFormat/>
    <w:rsid w:val="00D6484B"/>
    <w:pPr>
      <w:suppressAutoHyphens w:val="0"/>
      <w:ind w:left="720"/>
      <w:contextualSpacing/>
    </w:pPr>
    <w:rPr>
      <w:rFonts w:ascii="Tahoma" w:hAnsi="Tahoma"/>
      <w:szCs w:val="24"/>
      <w:lang w:val="en-AU" w:eastAsia="en-US"/>
    </w:rPr>
  </w:style>
  <w:style w:type="paragraph" w:styleId="Revision">
    <w:name w:val="Revision"/>
    <w:hidden/>
    <w:uiPriority w:val="99"/>
    <w:semiHidden/>
    <w:rsid w:val="00525206"/>
    <w:rPr>
      <w:rFonts w:ascii="Arial" w:hAnsi="Arial"/>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6937">
      <w:bodyDiv w:val="1"/>
      <w:marLeft w:val="0"/>
      <w:marRight w:val="0"/>
      <w:marTop w:val="0"/>
      <w:marBottom w:val="0"/>
      <w:divBdr>
        <w:top w:val="none" w:sz="0" w:space="0" w:color="auto"/>
        <w:left w:val="none" w:sz="0" w:space="0" w:color="auto"/>
        <w:bottom w:val="none" w:sz="0" w:space="0" w:color="auto"/>
        <w:right w:val="none" w:sz="0" w:space="0" w:color="auto"/>
      </w:divBdr>
    </w:div>
    <w:div w:id="391781566">
      <w:bodyDiv w:val="1"/>
      <w:marLeft w:val="0"/>
      <w:marRight w:val="0"/>
      <w:marTop w:val="0"/>
      <w:marBottom w:val="0"/>
      <w:divBdr>
        <w:top w:val="none" w:sz="0" w:space="0" w:color="auto"/>
        <w:left w:val="none" w:sz="0" w:space="0" w:color="auto"/>
        <w:bottom w:val="none" w:sz="0" w:space="0" w:color="auto"/>
        <w:right w:val="none" w:sz="0" w:space="0" w:color="auto"/>
      </w:divBdr>
    </w:div>
    <w:div w:id="776799603">
      <w:bodyDiv w:val="1"/>
      <w:marLeft w:val="0"/>
      <w:marRight w:val="0"/>
      <w:marTop w:val="0"/>
      <w:marBottom w:val="0"/>
      <w:divBdr>
        <w:top w:val="none" w:sz="0" w:space="0" w:color="auto"/>
        <w:left w:val="none" w:sz="0" w:space="0" w:color="auto"/>
        <w:bottom w:val="none" w:sz="0" w:space="0" w:color="auto"/>
        <w:right w:val="none" w:sz="0" w:space="0" w:color="auto"/>
      </w:divBdr>
    </w:div>
    <w:div w:id="806167990">
      <w:bodyDiv w:val="1"/>
      <w:marLeft w:val="0"/>
      <w:marRight w:val="0"/>
      <w:marTop w:val="0"/>
      <w:marBottom w:val="0"/>
      <w:divBdr>
        <w:top w:val="none" w:sz="0" w:space="0" w:color="auto"/>
        <w:left w:val="none" w:sz="0" w:space="0" w:color="auto"/>
        <w:bottom w:val="none" w:sz="0" w:space="0" w:color="auto"/>
        <w:right w:val="none" w:sz="0" w:space="0" w:color="auto"/>
      </w:divBdr>
    </w:div>
    <w:div w:id="1312052160">
      <w:bodyDiv w:val="1"/>
      <w:marLeft w:val="0"/>
      <w:marRight w:val="0"/>
      <w:marTop w:val="0"/>
      <w:marBottom w:val="0"/>
      <w:divBdr>
        <w:top w:val="none" w:sz="0" w:space="0" w:color="auto"/>
        <w:left w:val="none" w:sz="0" w:space="0" w:color="auto"/>
        <w:bottom w:val="none" w:sz="0" w:space="0" w:color="auto"/>
        <w:right w:val="none" w:sz="0" w:space="0" w:color="auto"/>
      </w:divBdr>
    </w:div>
    <w:div w:id="1581669992">
      <w:bodyDiv w:val="1"/>
      <w:marLeft w:val="0"/>
      <w:marRight w:val="0"/>
      <w:marTop w:val="0"/>
      <w:marBottom w:val="0"/>
      <w:divBdr>
        <w:top w:val="none" w:sz="0" w:space="0" w:color="auto"/>
        <w:left w:val="none" w:sz="0" w:space="0" w:color="auto"/>
        <w:bottom w:val="none" w:sz="0" w:space="0" w:color="auto"/>
        <w:right w:val="none" w:sz="0" w:space="0" w:color="auto"/>
      </w:divBdr>
    </w:div>
    <w:div w:id="21124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nzqa.govt.nz/ncea/ncea-for-teachers-and-schools/consent-to-assess-for-secondary-schools/" TargetMode="External"/><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zqa.govt.nz/providers-partners/assessment-and-moderation-of-standards/assessment-of-standards/generic-resources/authenticity/"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ducation.govt.nz/school/digital-technology/generative-a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MoEd-979828997-2345</_dlc_DocId>
    <_dlc_DocIdUrl xmlns="f37f3afa-dda7-4bd8-9f4a-089dec9fcbbe">
      <Url>https://educationgovtnz.sharepoint.com/sites/GRPMoEEXTTP-OCHMigration-NCEATKIchanges/_layouts/15/DocIdRedir.aspx?ID=MoEd-979828997-2345</Url>
      <Description>MoEd-979828997-2345</Description>
    </_dlc_DocIdUrl>
  </documentManagement>
</p:properties>
</file>

<file path=customXml/itemProps1.xml><?xml version="1.0" encoding="utf-8"?>
<ds:datastoreItem xmlns:ds="http://schemas.openxmlformats.org/officeDocument/2006/customXml" ds:itemID="{6C7CD18E-D844-43B9-A5D4-F046BCE3431D}">
  <ds:schemaRefs>
    <ds:schemaRef ds:uri="http://schemas.microsoft.com/office/2006/metadata/longProperties"/>
  </ds:schemaRefs>
</ds:datastoreItem>
</file>

<file path=customXml/itemProps2.xml><?xml version="1.0" encoding="utf-8"?>
<ds:datastoreItem xmlns:ds="http://schemas.openxmlformats.org/officeDocument/2006/customXml" ds:itemID="{D57D7992-64C2-4893-9E3F-A19B62CE2542}">
  <ds:schemaRefs>
    <ds:schemaRef ds:uri="http://schemas.openxmlformats.org/officeDocument/2006/bibliography"/>
  </ds:schemaRefs>
</ds:datastoreItem>
</file>

<file path=customXml/itemProps3.xml><?xml version="1.0" encoding="utf-8"?>
<ds:datastoreItem xmlns:ds="http://schemas.openxmlformats.org/officeDocument/2006/customXml" ds:itemID="{B9F68C0D-C977-4293-BC90-3C61806E3E77}"/>
</file>

<file path=customXml/itemProps4.xml><?xml version="1.0" encoding="utf-8"?>
<ds:datastoreItem xmlns:ds="http://schemas.openxmlformats.org/officeDocument/2006/customXml" ds:itemID="{2AFEE7FB-3AC0-41E0-83C1-28A65B3FDE32}"/>
</file>

<file path=customXml/itemProps5.xml><?xml version="1.0" encoding="utf-8"?>
<ds:datastoreItem xmlns:ds="http://schemas.openxmlformats.org/officeDocument/2006/customXml" ds:itemID="{EACD8EF8-B453-4031-A1AB-A05A5CD80990}"/>
</file>

<file path=customXml/itemProps6.xml><?xml version="1.0" encoding="utf-8"?>
<ds:datastoreItem xmlns:ds="http://schemas.openxmlformats.org/officeDocument/2006/customXml" ds:itemID="{50CFD318-A036-4DA8-99E9-D995AF3E3FDB}"/>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6422</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2025-10-22T01:35:00Z</dcterms:created>
  <dcterms:modified xsi:type="dcterms:W3CDTF">2025-10-22T01:35:00Z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2025-10-22T01:35:46Z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c49ff1c2-edbd-43d4-8d39-66abb099aac2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2505500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2fa2b3e6-5aa0-4c08-a7eb-864ffc96594b</vt:lpwstr>
  </property>
</Properties>
</file>